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jc w:val="right"/>
        <w:tabs>
          <w:tab w:val="left" w:pos="8280" w:leader="none"/>
        </w:tabs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Приложение № 1 к договору №___________ от «___» _____ 202_г.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828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tabs>
          <w:tab w:val="left" w:pos="828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9"/>
        </w:numPr>
        <w:ind w:left="0" w:right="0" w:firstLine="360"/>
        <w:jc w:val="both"/>
        <w:shd w:val="clear" w:color="auto" w:fill="ffffff"/>
        <w:tabs>
          <w:tab w:val="left" w:pos="709" w:leader="none"/>
          <w:tab w:val="left" w:pos="156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в</w:t>
      </w:r>
      <w:r>
        <w:rPr>
          <w:b/>
          <w:bCs/>
          <w:sz w:val="24"/>
          <w:szCs w:val="24"/>
        </w:rPr>
        <w:t xml:space="preserve">ыполнения работ</w:t>
      </w:r>
      <w:r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9"/>
        </w:numPr>
        <w:ind w:left="0" w:right="0" w:firstLine="360"/>
        <w:jc w:val="both"/>
        <w:tabs>
          <w:tab w:val="left" w:pos="851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Общие требования к выполнению работ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360"/>
        <w:jc w:val="both"/>
        <w:tabs>
          <w:tab w:val="left" w:pos="851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</w:pPr>
      <w:r>
        <w:t xml:space="preserve">Правила организации технического обслуживания и ремонта объектов электроэнергетики, утв. Приказом Минэнерго России от 25.10.2017 №1013.</w:t>
      </w:r>
      <w:r/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Правила технической эксплуатации электрических станций и сетей Российской Федерации (утв. Приказом Минэнерго РФ от 04.10.2022 № 1070);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highlight w:val="none"/>
        </w:rPr>
      </w:pPr>
      <w:r>
        <w:t xml:space="preserve">СП 45.13330.2017 Земляные сооружения, основания и фундаменты. Актуализированная редакция СНиП 3.02.01-87 (с Изменениями N 1, 2, 3)</w:t>
      </w:r>
      <w: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t xml:space="preserve">СП 48.13330.2019 Организация строительства СНиП 12-01-2004 (с Изменениями N 1, 2)</w:t>
      </w:r>
      <w: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highlight w:val="none"/>
        </w:rPr>
      </w:r>
      <w:r>
        <w:t xml:space="preserve">СП 68.13330.2017 Приемка в эксплуатацию законченных строительством объектов. Основные положения. Актуализированная редакция СНиП 3.01.04-87 (с Изменением N 1)</w:t>
      </w:r>
      <w: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highlight w:val="none"/>
        </w:rPr>
      </w:r>
      <w:r>
        <w:t xml:space="preserve">РД 153-34.0-21.601-98 Типовая инструкция по эксплуатации производственных зданий и сооружений энергопредприятий. Часть II. Раздел 2. Технология ремонтов зданий и сооружений</w:t>
      </w:r>
      <w: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highlight w:val="none"/>
        </w:rPr>
      </w:r>
      <w:r>
        <w:t xml:space="preserve">ГОСТ 7392-2014 Щебень из плотных горных пород для балластного слоя железнодорожного пути. Технические условия</w:t>
      </w:r>
      <w: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highlight w:val="none"/>
        </w:rPr>
      </w:r>
      <w:r>
        <w:t xml:space="preserve">ГОСТ Р 51685-2022 Рельсы железнодорожные. Общие технические условия (с Поправкой)</w:t>
      </w:r>
      <w: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83"/>
        </w:numPr>
        <w:ind w:left="0" w:right="0" w:firstLine="360"/>
        <w:jc w:val="both"/>
        <w:spacing w:line="276" w:lineRule="auto"/>
        <w:rPr>
          <w:sz w:val="24"/>
          <w:szCs w:val="24"/>
        </w:rPr>
      </w:pPr>
      <w:r>
        <w:rPr>
          <w:highlight w:val="none"/>
        </w:rPr>
      </w:r>
      <w:r>
        <w:t xml:space="preserve">Об утверждении и введении в действие Инструкции по обеспечению безопасности движения поездов при производстве путевых работ</w:t>
      </w:r>
      <w:r>
        <w:t xml:space="preserve">, Распоряжение ОАО «РЖД» № 2540 от 14.12.2016г.;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2"/>
        <w:numPr>
          <w:ilvl w:val="0"/>
          <w:numId w:val="79"/>
        </w:numPr>
        <w:ind w:left="0" w:firstLine="284"/>
        <w:jc w:val="both"/>
        <w:rPr>
          <w:bCs/>
          <w:i/>
        </w:rPr>
      </w:pPr>
      <w:r>
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развитие.</w:t>
      </w:r>
      <w:r>
        <w:rPr>
          <w:bCs/>
          <w:i/>
        </w:rPr>
      </w:r>
      <w:r>
        <w:rPr>
          <w:bCs/>
          <w:i/>
        </w:rPr>
      </w:r>
    </w:p>
    <w:p>
      <w:pPr>
        <w:pStyle w:val="1132"/>
        <w:ind w:left="0" w:right="0" w:firstLine="360"/>
        <w:jc w:val="both"/>
        <w:spacing w:line="276" w:lineRule="auto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1132"/>
        <w:ind w:left="284" w:firstLine="0"/>
        <w:jc w:val="both"/>
        <w:spacing w:line="276" w:lineRule="auto"/>
        <w:rPr>
          <w:bCs/>
          <w:i/>
        </w:rPr>
      </w:pPr>
      <w:r>
        <w:rPr>
          <w:bCs/>
          <w:i/>
          <w:highlight w:val="none"/>
        </w:rPr>
      </w:r>
      <w:r>
        <w:rPr>
          <w:bCs/>
          <w:i/>
        </w:rPr>
      </w:r>
      <w:r>
        <w:rPr>
          <w:bCs/>
          <w:i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  <w:highlight w:val="none"/>
        </w:rPr>
      </w:pPr>
      <w:r>
        <w:rPr>
          <w:b/>
          <w:bCs/>
          <w:sz w:val="22"/>
          <w:szCs w:val="22"/>
        </w:rPr>
        <w:t xml:space="preserve">1.2.</w:t>
      </w:r>
      <w:r>
        <w:rPr>
          <w:sz w:val="22"/>
          <w:szCs w:val="22"/>
        </w:rPr>
        <w:t xml:space="preserve"> </w:t>
      </w:r>
      <w:r>
        <w:rPr>
          <w:b/>
          <w:color w:val="000000"/>
          <w:sz w:val="22"/>
          <w:szCs w:val="24"/>
        </w:rPr>
        <w:t xml:space="preserve">Требования к организации работ</w:t>
      </w:r>
      <w:r>
        <w:rPr>
          <w:b/>
          <w:bCs/>
          <w:color w:val="000000"/>
          <w:sz w:val="22"/>
          <w:szCs w:val="22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709"/>
        <w:spacing w:line="271" w:lineRule="auto"/>
        <w:widowControl w:val="off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color w:val="0070c0"/>
          <w:sz w:val="24"/>
          <w:szCs w:val="24"/>
          <w:highlight w:val="none"/>
        </w:rPr>
      </w:pPr>
      <w:r>
        <w:rPr>
          <w:b/>
          <w:bCs/>
          <w:color w:val="000000"/>
          <w:sz w:val="22"/>
          <w:szCs w:val="24"/>
        </w:rPr>
        <w:t xml:space="preserve">1.2.1. Требования к организации процесса выполнения работ:</w:t>
      </w:r>
      <w:r>
        <w:rPr>
          <w:color w:val="0070c0"/>
          <w:sz w:val="24"/>
          <w:szCs w:val="24"/>
          <w:highlight w:val="none"/>
        </w:rPr>
      </w:r>
      <w:r>
        <w:rPr>
          <w:color w:val="0070c0"/>
          <w:sz w:val="24"/>
          <w:szCs w:val="24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color w:val="0070c0"/>
          <w:sz w:val="24"/>
          <w:szCs w:val="24"/>
        </w:rPr>
      </w:pPr>
      <w:r>
        <w:rPr>
          <w:bCs/>
          <w:color w:val="0070c0"/>
          <w:sz w:val="24"/>
          <w:szCs w:val="22"/>
          <w:highlight w:val="none"/>
        </w:rPr>
      </w: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ind w:left="0" w:right="0" w:firstLine="567"/>
        <w:jc w:val="both"/>
        <w:spacing w:before="60" w:after="102" w:afterAutospacing="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ab/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сходование материально-технических и трудовые ресурсов. </w:t>
      </w:r>
      <w:r>
        <w:rPr>
          <w:bCs/>
          <w:sz w:val="24"/>
          <w:szCs w:val="24"/>
          <w:highlight w:val="white"/>
        </w:rPr>
        <w:t xml:space="preserve">Подрядная организация разрабатывает планы подготовки к ремонту в соответствии 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л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з</w:t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д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ы</w:t>
      </w:r>
      <w:r>
        <w:rPr>
          <w:bCs/>
          <w:sz w:val="24"/>
          <w:szCs w:val="24"/>
          <w:highlight w:val="white"/>
        </w:rPr>
        <w:t xml:space="preserve">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б</w:t>
      </w:r>
      <w:r>
        <w:rPr>
          <w:bCs/>
          <w:sz w:val="24"/>
          <w:szCs w:val="24"/>
          <w:highlight w:val="white"/>
        </w:rPr>
        <w:t xml:space="preserve">ъ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я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ы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л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ю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б</w:t>
      </w:r>
      <w:r>
        <w:rPr>
          <w:bCs/>
          <w:sz w:val="24"/>
          <w:szCs w:val="24"/>
          <w:highlight w:val="white"/>
        </w:rPr>
        <w:t xml:space="preserve">ъ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б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г</w:t>
      </w:r>
      <w:r>
        <w:rPr>
          <w:bCs/>
          <w:sz w:val="24"/>
          <w:szCs w:val="24"/>
          <w:highlight w:val="white"/>
        </w:rPr>
        <w:t xml:space="preserve">л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ы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у</w:t>
      </w:r>
      <w:r>
        <w:rPr>
          <w:bCs/>
          <w:sz w:val="24"/>
          <w:szCs w:val="24"/>
          <w:highlight w:val="white"/>
        </w:rPr>
        <w:t xml:space="preserve">ч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л</w:t>
      </w:r>
      <w:r>
        <w:rPr>
          <w:bCs/>
          <w:sz w:val="24"/>
          <w:szCs w:val="24"/>
          <w:highlight w:val="white"/>
        </w:rPr>
        <w:t xml:space="preserve">ь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</w:rPr>
        <w:t xml:space="preserve">техническом обеспечения ремонтных работ.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567"/>
        <w:jc w:val="both"/>
        <w:spacing w:before="60" w:after="102" w:afterAutospacing="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Изменения объемов работ, предусмотренных ведомостью планируемых работ, оформляются в соответствии с требованиями Правил </w:t>
      </w:r>
      <w:r>
        <w:rPr>
          <w:bCs/>
          <w:sz w:val="24"/>
          <w:szCs w:val="24"/>
          <w:highlight w:val="white"/>
        </w:rPr>
        <w:t xml:space="preserve">ТОиР</w:t>
      </w:r>
      <w:r>
        <w:rPr>
          <w:bCs/>
          <w:sz w:val="24"/>
          <w:szCs w:val="24"/>
          <w:highlight w:val="white"/>
        </w:rPr>
        <w:t xml:space="preserve"> (ведомостью дополнительных работ по ремонту и протоколом </w:t>
      </w:r>
      <w:r>
        <w:rPr>
          <w:bCs/>
          <w:sz w:val="24"/>
          <w:szCs w:val="24"/>
          <w:highlight w:val="white"/>
        </w:rPr>
        <w:t xml:space="preserve">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</w:t>
      </w:r>
      <w:r>
        <w:rPr>
          <w:bCs/>
          <w:sz w:val="24"/>
          <w:szCs w:val="24"/>
          <w:highlight w:val="white"/>
        </w:rPr>
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567"/>
        <w:jc w:val="both"/>
        <w:spacing w:before="60" w:after="62" w:afterAutospacing="0" w:line="276" w:lineRule="auto"/>
        <w:widowControl w:val="off"/>
        <w:tabs>
          <w:tab w:val="left" w:pos="42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 начала ремонта Подрядчик: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80" w:line="276" w:lineRule="auto"/>
        <w:shd w:val="clear" w:color="auto" w:fill="ffffff"/>
        <w:tabs>
          <w:tab w:val="left" w:pos="709" w:leader="none"/>
          <w:tab w:val="left" w:pos="993" w:leader="none"/>
        </w:tabs>
        <w:rPr>
          <w:sz w:val="24"/>
          <w:szCs w:val="24"/>
          <w:highlight w:val="white"/>
        </w:rPr>
      </w:pPr>
      <w:r>
        <w:rPr>
          <w:highlight w:val="white"/>
        </w:rPr>
        <w:t xml:space="preserve">    </w:t>
      </w:r>
      <w:r>
        <w:rPr>
          <w:highlight w:val="white"/>
        </w:rPr>
        <w:t xml:space="preserve">    </w:t>
      </w:r>
      <w:r>
        <w:rPr>
          <w:sz w:val="24"/>
          <w:szCs w:val="24"/>
          <w:highlight w:val="white"/>
        </w:rPr>
        <w:t xml:space="preserve">- разрабатывает и направляет </w:t>
      </w:r>
      <w:r>
        <w:rPr>
          <w:sz w:val="24"/>
          <w:szCs w:val="24"/>
          <w:highlight w:val="white"/>
        </w:rPr>
        <w:t xml:space="preserve">на согласование проект производства работ (П</w:t>
      </w:r>
      <w:r>
        <w:rPr>
          <w:sz w:val="24"/>
          <w:szCs w:val="24"/>
          <w:highlight w:val="white"/>
        </w:rPr>
        <w:t xml:space="preserve">ПР). </w:t>
      </w:r>
      <w:r>
        <w:rPr>
          <w:sz w:val="24"/>
          <w:szCs w:val="24"/>
          <w:highlight w:val="white"/>
        </w:rPr>
        <w:t xml:space="preserve">В ППР указать методы и технологию выполнения работ, организационные вопросы, мероприятия по технике безопасности и охране труда, график выполнения работ, отражающий физические объемы, потребность трудозатрат и материалов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before="60" w:after="62" w:afterAutospacing="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проводит проверку выполнения подготовительных работ в соответствии с планом подготовки к ремонту.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567"/>
        <w:jc w:val="both"/>
        <w:spacing w:before="60" w:after="62" w:afterAutospacing="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определяет состав бригад (участков)</w:t>
      </w:r>
      <w:r>
        <w:rPr>
          <w:rFonts w:eastAsia="Calibri"/>
          <w:bCs/>
          <w:sz w:val="24"/>
          <w:szCs w:val="24"/>
          <w:highlight w:val="white"/>
        </w:rPr>
        <w:t xml:space="preserve"> по ремонту объекта, по  численности, квалификации и профессиям. При этом должна быть обеспечена полная занятость рабочих в течение установленных графиком сроков производства работ; 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567"/>
        <w:jc w:val="both"/>
        <w:spacing w:before="6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назначает руководителей работ по ремонту в соответствии с номенклатурой и объемом работ, принятым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567"/>
        <w:jc w:val="both"/>
        <w:spacing w:before="6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567"/>
        <w:jc w:val="both"/>
        <w:spacing w:before="60" w:line="276" w:lineRule="auto"/>
        <w:widowControl w:val="off"/>
        <w:tabs>
          <w:tab w:val="left" w:pos="426" w:leader="none"/>
        </w:tabs>
        <w:rPr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проверяет удостоверения сварщиков, стропальщиков, крановщиков</w:t>
      </w:r>
      <w:r>
        <w:rPr>
          <w:rFonts w:eastAsia="Calibri"/>
          <w:bCs/>
          <w:sz w:val="24"/>
          <w:szCs w:val="24"/>
          <w:highlight w:val="white"/>
        </w:rPr>
        <w:t xml:space="preserve"> и лиц других специальностей на право выполнения работ при ремонте;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567"/>
        <w:jc w:val="both"/>
        <w:spacing w:before="60" w:line="276" w:lineRule="auto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bCs/>
          <w:sz w:val="24"/>
          <w:szCs w:val="24"/>
          <w:highlight w:val="white"/>
        </w:rPr>
        <w:t xml:space="preserve">- проверяет выполнение требований допуска ремонтного и командированного персонала</w:t>
      </w:r>
      <w:r>
        <w:rPr>
          <w:rFonts w:eastAsia="Calibri"/>
          <w:bCs/>
          <w:sz w:val="24"/>
          <w:szCs w:val="24"/>
          <w:highlight w:val="white"/>
        </w:rPr>
        <w:t xml:space="preserve">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firstLine="456"/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iCs/>
          <w:color w:val="000000"/>
          <w:sz w:val="22"/>
          <w:szCs w:val="24"/>
        </w:rPr>
        <w:t xml:space="preserve">1.2.2. </w:t>
      </w:r>
      <w:r>
        <w:rPr>
          <w:b/>
          <w:bCs/>
          <w:sz w:val="22"/>
          <w:szCs w:val="22"/>
        </w:rPr>
        <w:t xml:space="preserve">Организационно-технические мероприятия по допуску персонала подрядчика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567"/>
        <w:spacing w:line="271" w:lineRule="auto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firstLine="456"/>
        <w:jc w:val="both"/>
        <w:spacing w:after="60" w:line="276" w:lineRule="auto"/>
      </w:pPr>
      <w:r>
        <w:rPr>
          <w:rFonts w:eastAsia="Calibri"/>
          <w:bCs/>
          <w:sz w:val="24"/>
          <w:szCs w:val="24"/>
          <w:highlight w:val="white"/>
        </w:rPr>
        <w:t xml:space="preserve">Допуск персонала подрядчика для выполнения работ должен осуществляться в соответствии с:</w:t>
      </w:r>
      <w:r/>
    </w:p>
    <w:p>
      <w:pPr>
        <w:contextualSpacing/>
        <w:ind w:left="0" w:right="0" w:firstLine="425"/>
        <w:jc w:val="both"/>
        <w:spacing w:after="60" w:line="276" w:lineRule="auto"/>
        <w:rPr>
          <w:highlight w:val="green"/>
        </w:rPr>
      </w:pPr>
      <w:r>
        <w:rPr>
          <w:rFonts w:eastAsia="Calibri"/>
          <w:bCs/>
          <w:sz w:val="24"/>
          <w:szCs w:val="24"/>
        </w:rPr>
        <w:t xml:space="preserve"> – Инструкция по организации пропускного и внутриобъектового режимов СП «Амурская ТЭЦ-1»</w:t>
      </w:r>
      <w:r>
        <w:rPr>
          <w:rFonts w:eastAsia="Calibri"/>
          <w:bCs/>
          <w:sz w:val="24"/>
          <w:szCs w:val="24"/>
          <w:highlight w:val="white"/>
        </w:rPr>
        <w:t xml:space="preserve"> АО «ДГК»</w:t>
      </w:r>
      <w:r>
        <w:rPr>
          <w:rFonts w:eastAsia="Calibri"/>
          <w:bCs/>
          <w:sz w:val="24"/>
          <w:szCs w:val="24"/>
          <w:highlight w:val="white"/>
        </w:rPr>
        <w:t xml:space="preserve">;</w:t>
      </w:r>
      <w:r>
        <w:rPr>
          <w:highlight w:val="green"/>
        </w:rPr>
      </w:r>
      <w:r>
        <w:rPr>
          <w:highlight w:val="green"/>
        </w:rPr>
      </w:r>
    </w:p>
    <w:p>
      <w:pPr>
        <w:pStyle w:val="906"/>
        <w:numPr>
          <w:ilvl w:val="0"/>
          <w:numId w:val="84"/>
        </w:numPr>
        <w:contextualSpacing/>
        <w:ind w:left="0" w:right="0" w:firstLine="425"/>
        <w:jc w:val="both"/>
        <w:spacing w:after="60" w:line="276" w:lineRule="auto"/>
        <w:rPr>
          <w:rFonts w:eastAsia="Calibri"/>
          <w:highlight w:val="green"/>
        </w:rPr>
      </w:pPr>
      <w:r>
        <w:rPr>
          <w:rFonts w:eastAsia="Calibri"/>
          <w:bCs/>
          <w:sz w:val="24"/>
          <w:szCs w:val="24"/>
          <w:highlight w:val="none"/>
        </w:rPr>
        <w:t xml:space="preserve">Поло</w:t>
      </w:r>
      <w:r>
        <w:rPr>
          <w:rFonts w:eastAsia="Calibri"/>
          <w:bCs/>
          <w:sz w:val="24"/>
          <w:szCs w:val="24"/>
          <w:highlight w:val="white"/>
        </w:rPr>
        <w:t xml:space="preserve">жением </w:t>
      </w:r>
      <w:r>
        <w:rPr>
          <w:rFonts w:eastAsia="Calibri"/>
          <w:bCs/>
          <w:sz w:val="24"/>
          <w:szCs w:val="24"/>
          <w:highlight w:val="none"/>
        </w:rPr>
        <w:t xml:space="preserve">о допуске персонала подрядных организаций к выполнению работ на объектах АО «ДГК» - 22.1-504-2025, </w:t>
      </w:r>
      <w:r>
        <w:rPr>
          <w:bCs/>
          <w:sz w:val="24"/>
          <w:szCs w:val="24"/>
          <w:highlight w:val="white"/>
        </w:rPr>
        <w:t xml:space="preserve">(утверждено приказом АО «ДГК» №795 от 25.09.2025)</w:t>
      </w:r>
      <w:r>
        <w:rPr>
          <w:bCs/>
          <w:sz w:val="24"/>
          <w:szCs w:val="24"/>
          <w:highlight w:val="white"/>
        </w:rPr>
        <w:t xml:space="preserve">.</w:t>
      </w:r>
      <w:r>
        <w:rPr>
          <w:rFonts w:eastAsia="Calibri"/>
          <w:highlight w:val="green"/>
        </w:rPr>
      </w:r>
      <w:r>
        <w:rPr>
          <w:rFonts w:eastAsia="Calibri"/>
          <w:highlight w:val="green"/>
        </w:rPr>
      </w:r>
    </w:p>
    <w:p>
      <w:pPr>
        <w:jc w:val="both"/>
        <w:spacing w:after="60" w:line="271" w:lineRule="auto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tabs>
          <w:tab w:val="left" w:pos="709" w:leader="none"/>
          <w:tab w:val="left" w:pos="1418" w:leader="none"/>
        </w:tabs>
        <w:rPr>
          <w:rFonts w:eastAsia="Calibri"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1.3. </w:t>
      </w:r>
      <w:r>
        <w:rPr>
          <w:b/>
          <w:color w:val="000000"/>
          <w:sz w:val="22"/>
          <w:szCs w:val="24"/>
        </w:rPr>
        <w:t xml:space="preserve">Требования к контролю качества работ и материалов</w:t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ind w:left="0" w:right="0" w:firstLine="709"/>
        <w:spacing w:line="271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ind w:left="0" w:right="0" w:firstLine="709"/>
        <w:spacing w:line="271" w:lineRule="auto"/>
        <w:tabs>
          <w:tab w:val="left" w:pos="709" w:leader="none"/>
          <w:tab w:val="left" w:pos="1418" w:leader="none"/>
        </w:tabs>
        <w:rPr>
          <w:b/>
          <w:bCs/>
          <w:sz w:val="22"/>
          <w:szCs w:val="24"/>
        </w:rPr>
      </w:pPr>
      <w:r>
        <w:rPr>
          <w:rFonts w:eastAsia="Calibri"/>
          <w:b/>
          <w:bCs/>
          <w:sz w:val="22"/>
          <w:szCs w:val="22"/>
        </w:rPr>
        <w:t xml:space="preserve">1.3.1. </w:t>
      </w:r>
      <w:r>
        <w:rPr>
          <w:b/>
          <w:bCs/>
          <w:sz w:val="22"/>
          <w:szCs w:val="24"/>
        </w:rPr>
        <w:t xml:space="preserve">Требования к используемым материалам</w:t>
      </w:r>
      <w:r>
        <w:rPr>
          <w:b/>
          <w:bCs/>
          <w:sz w:val="22"/>
          <w:szCs w:val="24"/>
        </w:rPr>
      </w:r>
      <w:r>
        <w:rPr>
          <w:b/>
          <w:bCs/>
          <w:sz w:val="22"/>
          <w:szCs w:val="24"/>
        </w:rPr>
      </w:r>
    </w:p>
    <w:p>
      <w:pPr>
        <w:ind w:firstLine="567"/>
        <w:spacing w:line="271" w:lineRule="auto"/>
        <w:tabs>
          <w:tab w:val="left" w:pos="709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06"/>
        <w:numPr>
          <w:ilvl w:val="0"/>
          <w:numId w:val="72"/>
        </w:numPr>
        <w:contextualSpacing/>
        <w:ind w:left="0" w:right="0" w:firstLine="709"/>
        <w:jc w:val="both"/>
        <w:spacing w:after="60" w:line="276" w:lineRule="auto"/>
        <w:tabs>
          <w:tab w:val="left" w:pos="0" w:leader="none"/>
        </w:tabs>
        <w:rPr>
          <w:rFonts w:eastAsia="Calibri"/>
          <w:bCs/>
          <w:strike w:val="0"/>
          <w:sz w:val="22"/>
          <w:szCs w:val="24"/>
          <w:highlight w:val="white"/>
        </w:rPr>
      </w:pPr>
      <w:r>
        <w:rPr>
          <w:rFonts w:eastAsia="Calibri"/>
          <w:bCs/>
          <w:sz w:val="22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  <w:t xml:space="preserve">Материалы, необходимые для выполнения работ, приобретаются подрядчиком самостоятельно в соответствии </w:t>
      </w:r>
      <w:r>
        <w:rPr>
          <w:rFonts w:eastAsia="Calibri"/>
          <w:bCs/>
          <w:strike w:val="0"/>
          <w:sz w:val="24"/>
          <w:szCs w:val="24"/>
          <w:highlight w:val="white"/>
        </w:rPr>
        <w:t xml:space="preserve"> </w:t>
      </w:r>
      <w:r>
        <w:rPr>
          <w:rFonts w:eastAsia="Calibri"/>
          <w:bCs/>
          <w:strike w:val="0"/>
          <w:sz w:val="24"/>
          <w:szCs w:val="24"/>
          <w:highlight w:val="white"/>
        </w:rPr>
        <w:t xml:space="preserve"> № 1.2 к настоящему Техническому заданию.</w:t>
      </w:r>
      <w:r>
        <w:rPr>
          <w:rFonts w:eastAsia="Calibri"/>
          <w:bCs/>
          <w:strike w:val="0"/>
          <w:sz w:val="22"/>
          <w:szCs w:val="24"/>
          <w:highlight w:val="white"/>
        </w:rPr>
      </w:r>
      <w:r>
        <w:rPr>
          <w:rFonts w:eastAsia="Calibri"/>
          <w:bCs/>
          <w:strike w:val="0"/>
          <w:sz w:val="22"/>
          <w:szCs w:val="24"/>
          <w:highlight w:val="white"/>
        </w:rPr>
      </w:r>
    </w:p>
    <w:p>
      <w:pPr>
        <w:contextualSpacing/>
        <w:ind w:left="35" w:right="0" w:firstLine="390"/>
        <w:jc w:val="both"/>
        <w:spacing w:line="276" w:lineRule="auto"/>
        <w:rPr>
          <w:rFonts w:eastAsia="Calibri"/>
          <w:sz w:val="24"/>
          <w:szCs w:val="24"/>
          <w:highlight w:val="none"/>
        </w:rPr>
      </w:pPr>
      <w:r>
        <w:rPr>
          <w:rFonts w:eastAsia="Calibri"/>
          <w:bCs/>
          <w:sz w:val="24"/>
          <w:szCs w:val="24"/>
          <w:highlight w:val="none"/>
        </w:rPr>
      </w:r>
      <w:r>
        <w:rPr>
          <w:rFonts w:eastAsia="Calibri"/>
          <w:bCs/>
          <w:sz w:val="24"/>
          <w:szCs w:val="24"/>
          <w:highlight w:val="white"/>
        </w:rPr>
        <w:t xml:space="preserve">Все </w:t>
      </w:r>
      <w:r>
        <w:rPr>
          <w:rFonts w:eastAsia="Calibri"/>
          <w:bCs/>
          <w:sz w:val="24"/>
          <w:szCs w:val="24"/>
          <w:highlight w:val="white"/>
        </w:rPr>
        <w:t xml:space="preserve">применяемые </w:t>
      </w:r>
      <w:r>
        <w:rPr>
          <w:rFonts w:eastAsia="Calibri"/>
          <w:bCs/>
          <w:sz w:val="24"/>
          <w:szCs w:val="24"/>
          <w:highlight w:val="white"/>
        </w:rPr>
        <w:t xml:space="preserve">материалы должны быть новыми и не использованными ранее.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06"/>
        <w:numPr>
          <w:ilvl w:val="0"/>
          <w:numId w:val="85"/>
        </w:numPr>
        <w:ind w:left="35" w:right="0" w:firstLine="390"/>
        <w:jc w:val="both"/>
        <w:spacing w:line="276" w:lineRule="auto"/>
        <w:tabs>
          <w:tab w:val="left" w:pos="406" w:leader="none"/>
        </w:tabs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Cs/>
          <w:sz w:val="24"/>
          <w:szCs w:val="24"/>
          <w:highlight w:val="white"/>
        </w:rPr>
        <w:t xml:space="preserve">Подрядчиком в работе могут быть применены эквивалентные материалы*, предварительно согласованные с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6"/>
        <w:numPr>
          <w:ilvl w:val="0"/>
          <w:numId w:val="85"/>
        </w:numPr>
        <w:ind w:left="35" w:right="0" w:firstLine="390"/>
        <w:jc w:val="both"/>
        <w:spacing w:line="276" w:lineRule="auto"/>
        <w:tabs>
          <w:tab w:val="left" w:pos="406" w:leader="none"/>
        </w:tabs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Cs/>
          <w:sz w:val="24"/>
          <w:szCs w:val="24"/>
          <w:highlight w:val="white"/>
        </w:rPr>
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</w:r>
      <w:r>
        <w:rPr>
          <w:bCs/>
          <w:sz w:val="24"/>
          <w:szCs w:val="24"/>
          <w:highlight w:val="white"/>
        </w:rPr>
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35" w:firstLine="0"/>
        <w:jc w:val="both"/>
        <w:spacing w:after="60" w:line="276" w:lineRule="auto"/>
        <w:tabs>
          <w:tab w:val="left" w:pos="406" w:leader="none"/>
        </w:tabs>
        <w:rPr>
          <w:rFonts w:eastAsia="Calibri"/>
          <w:highlight w:val="none"/>
        </w:rPr>
      </w:pPr>
      <w:r>
        <w:rPr>
          <w:rFonts w:eastAsia="Calibri"/>
          <w:bCs/>
          <w:sz w:val="24"/>
          <w:szCs w:val="24"/>
          <w:highlight w:val="white"/>
        </w:rPr>
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  <w:highlight w:val="none"/>
        </w:rPr>
      </w:pPr>
      <w:r>
        <w:rPr>
          <w:b/>
          <w:bCs/>
          <w:sz w:val="22"/>
        </w:rPr>
        <w:t xml:space="preserve">1.3.2. </w:t>
      </w:r>
      <w:r>
        <w:rPr>
          <w:b/>
          <w:bCs/>
          <w:sz w:val="22"/>
          <w:szCs w:val="24"/>
          <w:highlight w:val="white"/>
        </w:rPr>
        <w:t xml:space="preserve">Контроль качества используемых материалов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4"/>
          <w:highlight w:val="none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567"/>
        <w:jc w:val="both"/>
        <w:spacing w:line="276" w:lineRule="auto"/>
        <w:tabs>
          <w:tab w:val="left" w:pos="709" w:leader="none"/>
          <w:tab w:val="left" w:pos="141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Материалы Подрядчика должны иметь сертификаты, паспорта и другие документы, подтверждающие их качество.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firstLine="567"/>
        <w:jc w:val="both"/>
        <w:spacing w:line="276" w:lineRule="auto"/>
        <w:tabs>
          <w:tab w:val="left" w:pos="709" w:leader="none"/>
          <w:tab w:val="left" w:pos="1418" w:leader="none"/>
        </w:tabs>
        <w:rPr>
          <w:iCs/>
          <w:sz w:val="24"/>
          <w:szCs w:val="24"/>
          <w:highlight w:val="none"/>
        </w:rPr>
      </w:pPr>
      <w:r>
        <w:rPr>
          <w:bCs/>
          <w:iCs/>
          <w:sz w:val="24"/>
          <w:szCs w:val="24"/>
        </w:rPr>
        <w:t xml:space="preserve">При осуществлении Подрядчиком входного контроля качества строительных материалов и изделий, поступивших на ремонтную площадку, об</w:t>
      </w:r>
      <w:r>
        <w:rPr>
          <w:bCs/>
          <w:iCs/>
          <w:sz w:val="24"/>
          <w:szCs w:val="24"/>
        </w:rPr>
        <w:t xml:space="preserve">язательное наличие и ведение журнала входного учета и контроля качества получаемых материалов. Отсутствие записи о приемке материалов в данном журнале дает основание Заказчику в отказе приемки выполненных работ с использованием соответствующих материалов. 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ind w:firstLine="567"/>
        <w:jc w:val="both"/>
        <w:spacing w:line="271" w:lineRule="auto"/>
        <w:tabs>
          <w:tab w:val="left" w:pos="709" w:leader="none"/>
          <w:tab w:val="left" w:pos="1418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4"/>
        </w:rPr>
      </w:pPr>
      <w:r>
        <w:rPr>
          <w:b/>
          <w:bCs/>
          <w:sz w:val="22"/>
          <w:szCs w:val="22"/>
        </w:rPr>
        <w:t xml:space="preserve">1.3.3. </w:t>
      </w:r>
      <w:r>
        <w:rPr>
          <w:b/>
          <w:bCs/>
          <w:sz w:val="22"/>
          <w:szCs w:val="24"/>
        </w:rPr>
        <w:t xml:space="preserve">Требования к контролю качества работ</w:t>
      </w:r>
      <w:r>
        <w:rPr>
          <w:b/>
          <w:bCs/>
          <w:sz w:val="22"/>
          <w:szCs w:val="24"/>
        </w:rPr>
      </w:r>
      <w:r>
        <w:rPr>
          <w:b/>
          <w:bCs/>
          <w:sz w:val="22"/>
          <w:szCs w:val="24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0" w:right="0" w:firstLine="425"/>
        <w:jc w:val="both"/>
        <w:spacing w:after="60" w:line="276" w:lineRule="auto"/>
        <w:rPr>
          <w:iCs/>
          <w:sz w:val="24"/>
          <w:szCs w:val="24"/>
          <w:highlight w:val="none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  <w:highlight w:val="white"/>
        </w:rPr>
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</w:r>
      <w:r>
        <w:rPr>
          <w:bCs/>
          <w:iCs/>
          <w:sz w:val="24"/>
          <w:szCs w:val="24"/>
          <w:highlight w:val="white"/>
        </w:rPr>
        <w:t xml:space="preserve">.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jc w:val="both"/>
        <w:spacing w:after="79" w:afterAutospacing="0" w:line="276" w:lineRule="auto"/>
        <w:rPr>
          <w:iCs/>
          <w:sz w:val="24"/>
          <w:szCs w:val="24"/>
          <w:highlight w:val="none"/>
        </w:rPr>
      </w:pPr>
      <w:r>
        <w:rPr>
          <w:iCs/>
          <w:sz w:val="22"/>
          <w:szCs w:val="22"/>
          <w:highlight w:val="white"/>
        </w:rPr>
        <w:t xml:space="preserve">    </w:t>
      </w:r>
      <w:r>
        <w:rPr>
          <w:iCs/>
          <w:sz w:val="22"/>
          <w:szCs w:val="22"/>
          <w:highlight w:val="white"/>
        </w:rPr>
        <w:t xml:space="preserve"> </w:t>
      </w:r>
      <w:r>
        <w:rPr>
          <w:iCs/>
          <w:sz w:val="22"/>
          <w:szCs w:val="22"/>
          <w:highlight w:val="white"/>
        </w:rPr>
        <w:t xml:space="preserve"> </w:t>
      </w:r>
      <w:r>
        <w:rPr>
          <w:iCs/>
          <w:sz w:val="22"/>
          <w:szCs w:val="22"/>
          <w:highlight w:val="white"/>
        </w:rPr>
        <w:t xml:space="preserve"> </w:t>
      </w:r>
      <w:r>
        <w:rPr>
          <w:iCs/>
          <w:sz w:val="24"/>
          <w:szCs w:val="24"/>
          <w:highlight w:val="white"/>
        </w:rPr>
        <w:t xml:space="preserve"> </w:t>
      </w:r>
      <w:r>
        <w:rPr>
          <w:iCs/>
          <w:sz w:val="24"/>
          <w:szCs w:val="24"/>
          <w:highlight w:val="white"/>
        </w:rPr>
        <w:t xml:space="preserve">При</w:t>
      </w:r>
      <w:r>
        <w:rPr>
          <w:iCs/>
          <w:sz w:val="24"/>
          <w:szCs w:val="24"/>
          <w:highlight w:val="white"/>
        </w:rPr>
        <w:t xml:space="preserve">емка в эксплуатацию и контроль качества ремонта должны производиться в соответствии с разделами №4.2 «Положения об организации контроля и приемке выполненных работ на </w:t>
      </w:r>
      <w:r>
        <w:rPr>
          <w:iCs/>
          <w:sz w:val="24"/>
          <w:szCs w:val="24"/>
          <w:highlight w:val="white"/>
        </w:rPr>
        <w:t xml:space="preserve">ремонтируемых объектах, объектах модернизации, реконструкции и технического перевооружения - 21-003-2019» утверждено приказом от 29.11.2019 АО «ДГК».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jc w:val="both"/>
        <w:spacing w:after="79" w:afterAutospacing="0" w:line="276" w:lineRule="auto"/>
        <w:rPr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b/>
          <w:bCs/>
          <w:sz w:val="22"/>
          <w:szCs w:val="24"/>
        </w:rPr>
        <w:t xml:space="preserve">1.4. </w:t>
      </w:r>
      <w:r>
        <w:rPr>
          <w:b/>
          <w:bCs/>
          <w:sz w:val="24"/>
          <w:szCs w:val="24"/>
        </w:rPr>
        <w:t xml:space="preserve">Требования к персоналу Подрядчика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1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4"/>
        </w:rPr>
        <w:t xml:space="preserve">1.4.1. Квалификация персонала подрядчика, привлекаемого к выполнению работ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567"/>
        <w:jc w:val="both"/>
        <w:spacing w:line="271" w:lineRule="auto"/>
        <w:tabs>
          <w:tab w:val="left" w:pos="709" w:leader="none"/>
          <w:tab w:val="left" w:pos="1418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left="0" w:right="0" w:firstLine="567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должен иметь минимально необходимое для выполнения </w:t>
      </w:r>
      <w:r>
        <w:rPr>
          <w:sz w:val="24"/>
          <w:szCs w:val="24"/>
          <w:highlight w:val="white"/>
        </w:rPr>
        <w:t xml:space="preserve">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pacing w:before="60" w:line="276" w:lineRule="auto"/>
        <w:widowControl w:val="off"/>
        <w:tabs>
          <w:tab w:val="left" w:pos="426" w:leader="none"/>
        </w:tabs>
        <w:rPr>
          <w:iCs/>
          <w:sz w:val="24"/>
          <w:szCs w:val="24"/>
          <w:highlight w:val="none"/>
        </w:rPr>
      </w:pPr>
      <w:r>
        <w:rPr>
          <w:bCs/>
          <w:iCs/>
          <w:sz w:val="24"/>
          <w:szCs w:val="24"/>
          <w:highlight w:val="white"/>
        </w:rPr>
        <w:t xml:space="preserve">До начала проведения работ в рамках исполнения договора после его заключения подрядчик предоставляет: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pStyle w:val="906"/>
        <w:numPr>
          <w:ilvl w:val="0"/>
          <w:numId w:val="54"/>
        </w:numPr>
        <w:ind w:left="0" w:right="0" w:firstLine="567"/>
        <w:jc w:val="both"/>
        <w:spacing w:before="60" w:line="276" w:lineRule="auto"/>
        <w:widowControl w:val="off"/>
        <w:tabs>
          <w:tab w:val="left" w:pos="318" w:leader="none"/>
        </w:tabs>
        <w:rPr>
          <w:bCs/>
          <w:iCs/>
          <w:highlight w:val="white"/>
        </w:rPr>
      </w:pPr>
      <w:r>
        <w:rPr>
          <w:bCs/>
          <w:iCs/>
          <w:sz w:val="24"/>
          <w:szCs w:val="24"/>
          <w:highlight w:val="none"/>
        </w:rPr>
        <w:t xml:space="preserve"> </w:t>
      </w:r>
      <w:r>
        <w:rPr>
          <w:bCs/>
          <w:iCs/>
          <w:sz w:val="24"/>
          <w:szCs w:val="24"/>
          <w:highlight w:val="white"/>
        </w:rPr>
        <w:t xml:space="preserve">список </w:t>
      </w:r>
      <w:r>
        <w:rPr>
          <w:bCs/>
          <w:iCs/>
          <w:sz w:val="24"/>
          <w:szCs w:val="24"/>
          <w:highlight w:val="white"/>
        </w:rPr>
        <w:t xml:space="preserve">персонала с указанием сведений </w:t>
      </w:r>
      <w:r>
        <w:rPr>
          <w:bCs/>
          <w:iCs/>
          <w:sz w:val="24"/>
          <w:szCs w:val="24"/>
          <w:highlight w:val="white"/>
        </w:rPr>
        <w:t xml:space="preserve">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</w:t>
      </w:r>
      <w:r>
        <w:rPr>
          <w:bCs/>
          <w:iCs/>
          <w:sz w:val="24"/>
          <w:szCs w:val="24"/>
          <w:highlight w:val="white"/>
        </w:rPr>
        <w:t xml:space="preserve">грузоподъемных, работ с </w:t>
      </w:r>
      <w:r>
        <w:rPr>
          <w:bCs/>
          <w:iCs/>
          <w:sz w:val="24"/>
          <w:szCs w:val="24"/>
          <w:highlight w:val="white"/>
        </w:rPr>
        <w:t xml:space="preserve">электро</w:t>
      </w:r>
      <w:r>
        <w:rPr>
          <w:bCs/>
          <w:iCs/>
          <w:sz w:val="24"/>
          <w:szCs w:val="24"/>
          <w:highlight w:val="white"/>
        </w:rPr>
        <w:t xml:space="preserve"> - и </w:t>
      </w:r>
      <w:r>
        <w:rPr>
          <w:bCs/>
          <w:iCs/>
          <w:sz w:val="24"/>
          <w:szCs w:val="24"/>
          <w:highlight w:val="white"/>
        </w:rPr>
        <w:t xml:space="preserve">пневмоинструментом</w:t>
      </w:r>
      <w:r>
        <w:rPr>
          <w:bCs/>
          <w:iCs/>
          <w:sz w:val="24"/>
          <w:szCs w:val="24"/>
          <w:highlight w:val="white"/>
        </w:rPr>
        <w:t xml:space="preserve">) (возможно совмещение специальностей)</w:t>
      </w:r>
      <w:r>
        <w:rPr>
          <w:bCs/>
          <w:iCs/>
          <w:sz w:val="24"/>
          <w:szCs w:val="24"/>
          <w:highlight w:val="none"/>
        </w:rPr>
        <w:t xml:space="preserve">.</w:t>
      </w:r>
      <w:r>
        <w:rPr>
          <w:bCs/>
          <w:iCs/>
          <w:highlight w:val="white"/>
        </w:rPr>
      </w:r>
      <w:r>
        <w:rPr>
          <w:bCs/>
          <w:iCs/>
          <w:highlight w:val="white"/>
        </w:rPr>
      </w:r>
    </w:p>
    <w:p>
      <w:pPr>
        <w:ind w:left="567" w:right="0" w:firstLine="0"/>
        <w:jc w:val="both"/>
        <w:spacing w:before="60" w:line="271" w:lineRule="auto"/>
        <w:widowControl w:val="off"/>
        <w:tabs>
          <w:tab w:val="left" w:pos="318" w:leader="none"/>
        </w:tabs>
        <w:rPr>
          <w:highlight w:val="white"/>
        </w:rPr>
      </w:pPr>
      <w:r>
        <w:rPr>
          <w:iCs/>
          <w:sz w:val="24"/>
          <w:szCs w:val="24"/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</w:rPr>
      </w:pPr>
      <w:r>
        <w:rPr>
          <w:b/>
          <w:bCs/>
          <w:sz w:val="22"/>
          <w:szCs w:val="24"/>
        </w:rPr>
        <w:t xml:space="preserve">1.2. </w:t>
      </w:r>
      <w:r>
        <w:rPr>
          <w:b/>
          <w:bCs/>
          <w:color w:val="000000"/>
          <w:sz w:val="22"/>
          <w:szCs w:val="24"/>
        </w:rPr>
        <w:t xml:space="preserve">Т</w:t>
      </w:r>
      <w:r>
        <w:rPr>
          <w:b/>
          <w:color w:val="000000"/>
          <w:sz w:val="22"/>
          <w:szCs w:val="24"/>
        </w:rPr>
        <w:t xml:space="preserve">ребования к безопасности работ и охране труда</w:t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left="0" w:right="0" w:firstLine="709"/>
        <w:spacing w:line="271" w:lineRule="auto"/>
        <w:widowControl w:val="off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</w:rPr>
      </w:pPr>
      <w:r>
        <w:rPr>
          <w:b/>
          <w:color w:val="000000"/>
          <w:sz w:val="22"/>
          <w:szCs w:val="24"/>
        </w:rPr>
        <w:t xml:space="preserve">1.2.1. </w:t>
      </w:r>
      <w:r>
        <w:rPr>
          <w:b/>
          <w:bCs/>
          <w:sz w:val="22"/>
          <w:szCs w:val="22"/>
        </w:rPr>
        <w:t xml:space="preserve">Требования к безопасности выполняемых работ</w:t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left="0" w:right="0" w:firstLine="709"/>
        <w:jc w:val="both"/>
        <w:spacing w:after="60" w:line="271" w:lineRule="auto"/>
        <w:rPr>
          <w:bCs/>
          <w:iCs/>
          <w:highlight w:val="white"/>
        </w:rPr>
      </w:pPr>
      <w:r>
        <w:rPr>
          <w:bCs/>
          <w:iCs/>
          <w:highlight w:val="white"/>
        </w:rPr>
      </w:r>
      <w:r>
        <w:rPr>
          <w:bCs/>
          <w:iCs/>
          <w:highlight w:val="white"/>
        </w:rPr>
      </w:r>
      <w:r>
        <w:rPr>
          <w:bCs/>
          <w:iCs/>
          <w:highlight w:val="white"/>
        </w:rPr>
      </w:r>
    </w:p>
    <w:p>
      <w:pPr>
        <w:ind w:left="0" w:right="0" w:firstLine="567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pStyle w:val="906"/>
        <w:numPr>
          <w:ilvl w:val="0"/>
          <w:numId w:val="55"/>
        </w:numPr>
        <w:ind w:left="0" w:right="0" w:firstLine="567"/>
        <w:jc w:val="both"/>
        <w:spacing w:line="276" w:lineRule="auto"/>
        <w:tabs>
          <w:tab w:val="left" w:pos="182" w:leader="none"/>
          <w:tab w:val="left" w:pos="413" w:leader="none"/>
        </w:tabs>
        <w:rPr>
          <w:iCs/>
          <w:highlight w:val="white"/>
        </w:rPr>
      </w:pPr>
      <w:r>
        <w:rPr>
          <w:iCs/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white"/>
        </w:rPr>
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5"/>
        </w:numPr>
        <w:ind w:left="0" w:right="0" w:firstLine="567"/>
        <w:jc w:val="both"/>
        <w:spacing w:line="276" w:lineRule="auto"/>
        <w:tabs>
          <w:tab w:val="left" w:pos="182" w:leader="none"/>
          <w:tab w:val="left" w:pos="413" w:leader="none"/>
        </w:tabs>
        <w:rPr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  <w:t xml:space="preserve"> СНиП 12-04-2002 </w:t>
      </w:r>
      <w:r>
        <w:rPr>
          <w:sz w:val="24"/>
          <w:szCs w:val="24"/>
        </w:rPr>
        <w:t xml:space="preserve">О принятии строительных норм и правил Российской Федерации "Безопасность труда в строительстве. Часть 2. Строительное производство"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pacing w:before="60" w:line="276" w:lineRule="auto"/>
        <w:widowControl w:val="off"/>
        <w:tabs>
          <w:tab w:val="left" w:pos="318" w:leader="none"/>
        </w:tabs>
        <w:rPr>
          <w:sz w:val="24"/>
          <w:szCs w:val="24"/>
          <w:highlight w:val="none"/>
        </w:rPr>
      </w:pPr>
      <w:r>
        <w:rPr>
          <w:iCs/>
          <w:sz w:val="24"/>
          <w:szCs w:val="24"/>
          <w:highlight w:val="white"/>
        </w:rPr>
        <w:t xml:space="preserve">СО 34.03.201-97 (РД 34.03.201-97) Правила техники безопасности при эксплуатации тепломеханического оборудования электростанций и тепловых сетей.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85"/>
        <w:numPr>
          <w:ilvl w:val="0"/>
          <w:numId w:val="0"/>
        </w:numPr>
        <w:ind w:left="0" w:right="0" w:firstLine="0"/>
        <w:spacing w:before="62" w:beforeAutospacing="0" w:after="96" w:afterAutospacing="0" w:line="276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Статья 214 ТК РФ. Обязанности работодателя в области охраны труда.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contextualSpacing/>
        <w:jc w:val="both"/>
        <w:spacing w:before="60" w:line="276" w:lineRule="auto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При производстве работ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 территории, находящейся под контролем другого работодателя (иного лица), работодатель, осуществляющий производство работ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, обязан перед началом производства работ, согласовать с дру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гим работодателем (иным лицом) мероприятия по предотвращению случаев повреждения здоровья работников, в том числе работников сторонних организаций, производящих работы на данной территории. Примерный перечень мероприятий по предотвраще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нию случаев повреждения здоровья работников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хсторонней комиссии по регулированию социально-трудовых отношений.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jc w:val="both"/>
        <w:spacing w:after="60" w:line="271" w:lineRule="auto"/>
        <w:rPr>
          <w:bCs/>
          <w:iCs/>
          <w:highlight w:val="white"/>
        </w:rPr>
      </w:pPr>
      <w:r>
        <w:rPr>
          <w:bCs/>
          <w:iCs/>
          <w:highlight w:val="white"/>
        </w:rPr>
      </w:r>
      <w:r>
        <w:rPr>
          <w:bCs/>
          <w:iCs/>
          <w:highlight w:val="white"/>
        </w:rPr>
      </w:r>
      <w:r>
        <w:rPr>
          <w:bCs/>
          <w:iCs/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1.2.2. Соблюдение требований к пожарной безопасности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left="0" w:right="0" w:firstLine="567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</w:rPr>
      </w:r>
      <w:r>
        <w:rPr>
          <w:iCs/>
          <w:sz w:val="24"/>
          <w:szCs w:val="24"/>
          <w:highlight w:val="none"/>
        </w:rPr>
        <w:t xml:space="preserve">М</w:t>
      </w:r>
      <w:r>
        <w:rPr>
          <w:iCs/>
          <w:sz w:val="24"/>
          <w:szCs w:val="24"/>
          <w:highlight w:val="white"/>
        </w:rPr>
        <w:t xml:space="preserve">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left="0" w:right="0" w:firstLine="567"/>
        <w:jc w:val="both"/>
        <w:spacing w:line="276" w:lineRule="auto"/>
        <w:shd w:val="clear" w:color="auto" w:fill="ffffff"/>
        <w:tabs>
          <w:tab w:val="left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Правилах противопожарного режима в Российской Федерации, утверждены Постановлением Правительства РФ от 16.09.2020 № 1479;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spacing w:line="276" w:lineRule="auto"/>
        <w:shd w:val="clear" w:color="auto" w:fill="ffffff"/>
        <w:tabs>
          <w:tab w:val="left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№123-ФЗ от 22.07.2008 «Технический регламент о требованиях пожарной безопасности»;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ГОСТ 12.1.004-91* Система стандартов безопасности труда. Пожарная безопасность. Общие требования.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rPr>
          <w:iCs/>
          <w:sz w:val="24"/>
          <w:szCs w:val="24"/>
          <w:highlight w:val="none"/>
        </w:rPr>
      </w:pPr>
      <w:r>
        <w:rPr>
          <w:iCs/>
          <w:sz w:val="24"/>
          <w:szCs w:val="24"/>
          <w:highlight w:val="white"/>
        </w:rPr>
        <w:t xml:space="preserve">Ремонтная площадка должна быть оснащена средствами пожаротушения. 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jc w:val="both"/>
        <w:spacing w:after="60" w:line="276" w:lineRule="auto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</w:t>
      </w:r>
      <w:r>
        <w:rPr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развитие.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jc w:val="both"/>
        <w:spacing w:after="60" w:line="271" w:lineRule="auto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</w:rPr>
        <w:t xml:space="preserve">1.2.3. </w:t>
      </w:r>
      <w:r>
        <w:rPr>
          <w:b/>
          <w:bCs/>
          <w:sz w:val="22"/>
          <w:szCs w:val="22"/>
        </w:rPr>
        <w:t xml:space="preserve">Соблюдение требований к охране окружающей среды.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567"/>
        <w:spacing w:line="271" w:lineRule="auto"/>
        <w:widowControl w:val="off"/>
        <w:tabs>
          <w:tab w:val="left" w:pos="709" w:leader="none"/>
          <w:tab w:val="left" w:pos="1418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ind w:left="0" w:right="0" w:firstLine="567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left="0" w:right="0" w:firstLine="567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Отходы, строительный мусор должны своевременно вывозиться для дальнейшей утилизации.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widowControl w:val="off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Мероприятия и работы по охране окружающей среды вести в соответствии: 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widowControl w:val="off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- Федеральный закон от 10.01.2002 № 7-ФЗ «Об охране окружающей среды» (ред. от 02.07.21);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contextualSpacing/>
        <w:ind w:left="0" w:right="0" w:firstLine="567"/>
        <w:jc w:val="both"/>
        <w:spacing w:line="276" w:lineRule="auto"/>
        <w:widowControl w:val="off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- Федеральный закон от 04.05.1999 № 96-ФЗ «Об охране атмосферного воздуха» (ред. от 11.06.2021);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1.2.4. Соблюдение требований охраны труда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firstLine="430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firstLine="430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rPr>
          <w:iCs/>
          <w:sz w:val="24"/>
          <w:szCs w:val="24"/>
          <w:highlight w:val="white"/>
        </w:rPr>
        <w:t xml:space="preserve">внутриобъектового</w:t>
      </w:r>
      <w:r>
        <w:rPr>
          <w:iCs/>
          <w:sz w:val="24"/>
          <w:szCs w:val="24"/>
          <w:highlight w:val="white"/>
        </w:rPr>
        <w:t xml:space="preserve"> режима Заказчика. 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left="0" w:right="0" w:firstLine="425"/>
        <w:jc w:val="both"/>
        <w:spacing w:line="276" w:lineRule="auto"/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Организация ремонтной площадки, участков работ и рабочих мест должна обеспечивать безопасность труда работающих на всех этапах </w:t>
      </w:r>
      <w:r>
        <w:rPr>
          <w:iCs/>
          <w:sz w:val="24"/>
          <w:szCs w:val="24"/>
          <w:highlight w:val="white"/>
        </w:rPr>
        <w:t xml:space="preserve">выполнения строительно-монтажных работ. Для производства работ в охранной зоне необходимо получить наряд-допуск.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left="0" w:right="0" w:firstLine="425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right="0" w:firstLine="425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white"/>
        </w:rPr>
        <w:t xml:space="preserve">Правилах по охране труда при работе на высоте (утверждены приказом Министерства труда от 16.11.2020 №782н)</w:t>
      </w:r>
      <w:r>
        <w:rPr>
          <w:iCs/>
          <w:sz w:val="24"/>
          <w:szCs w:val="24"/>
        </w:rPr>
        <w:t xml:space="preserve">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right="0" w:firstLine="425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white"/>
        </w:rPr>
        <w:t xml:space="preserve">Правилах по охране труда при работе с инструментом и приспособлениями (утверждены приказом Министерства труда от 27.11.2020 № 835н);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right="0" w:firstLine="425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white"/>
        </w:rPr>
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ind w:left="0" w:right="0" w:firstLine="425"/>
        <w:jc w:val="both"/>
        <w:spacing w:line="276" w:lineRule="auto"/>
        <w:widowControl w:val="off"/>
        <w:tabs>
          <w:tab w:val="left" w:pos="567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white"/>
        </w:rPr>
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 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iCs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numPr>
          <w:ilvl w:val="0"/>
          <w:numId w:val="56"/>
        </w:numPr>
        <w:contextualSpacing/>
        <w:ind w:left="0" w:right="0" w:firstLine="425"/>
        <w:jc w:val="both"/>
        <w:spacing w:line="276" w:lineRule="auto"/>
        <w:tabs>
          <w:tab w:val="left" w:pos="313" w:leader="none"/>
          <w:tab w:val="left" w:pos="413" w:leader="none"/>
        </w:tabs>
        <w:rPr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 в процессе исполнения Договора, то необходимо применять нормативный документ, принятый в его развитие.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  <w:highlight w:val="none"/>
        </w:rPr>
      </w:pPr>
      <w:r>
        <w:rPr>
          <w:b/>
          <w:bCs/>
          <w:color w:val="000000"/>
          <w:sz w:val="22"/>
          <w:szCs w:val="24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  <w:highlight w:val="none"/>
        </w:rPr>
      </w:pPr>
      <w:r>
        <w:rPr>
          <w:b/>
          <w:bCs/>
          <w:color w:val="000000"/>
          <w:sz w:val="22"/>
        </w:rPr>
        <w:t xml:space="preserve">2.</w:t>
      </w:r>
      <w:r>
        <w:rPr>
          <w:color w:val="000000"/>
          <w:sz w:val="22"/>
        </w:rPr>
        <w:t xml:space="preserve"> </w:t>
      </w:r>
      <w:r>
        <w:rPr>
          <w:b/>
          <w:bCs/>
          <w:color w:val="000000"/>
          <w:sz w:val="22"/>
          <w:szCs w:val="24"/>
        </w:rPr>
        <w:t xml:space="preserve">Требования к результатам работ</w:t>
      </w:r>
      <w:r>
        <w:rPr>
          <w:b/>
          <w:bCs/>
          <w:color w:val="000000"/>
          <w:sz w:val="22"/>
          <w:szCs w:val="22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4"/>
          <w:highlight w:val="none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  <w:highlight w:val="none"/>
        </w:rPr>
      </w:pPr>
      <w:r>
        <w:rPr>
          <w:b/>
          <w:bCs/>
          <w:color w:val="000000"/>
          <w:sz w:val="22"/>
          <w:szCs w:val="22"/>
        </w:rPr>
        <w:t xml:space="preserve">2</w:t>
      </w:r>
      <w:r>
        <w:rPr>
          <w:b/>
          <w:color w:val="000000"/>
          <w:sz w:val="22"/>
          <w:szCs w:val="24"/>
        </w:rPr>
        <w:t xml:space="preserve">.1. Общие требования к результатам работ</w:t>
      </w:r>
      <w:r>
        <w:rPr>
          <w:b/>
          <w:bCs/>
          <w:color w:val="000000"/>
          <w:sz w:val="22"/>
          <w:szCs w:val="22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</w:rPr>
      </w:pPr>
      <w:r>
        <w:rPr>
          <w:b/>
          <w:color w:val="000000"/>
          <w:sz w:val="22"/>
          <w:szCs w:val="24"/>
          <w:highlight w:val="none"/>
        </w:rPr>
      </w:r>
      <w:r>
        <w:rPr>
          <w:b/>
          <w:bCs/>
          <w:color w:val="000000"/>
          <w:sz w:val="22"/>
          <w:szCs w:val="22"/>
        </w:rPr>
      </w:r>
      <w:r>
        <w:rPr>
          <w:b/>
          <w:bCs/>
          <w:color w:val="000000"/>
          <w:sz w:val="22"/>
          <w:szCs w:val="22"/>
        </w:rPr>
      </w:r>
    </w:p>
    <w:p>
      <w:pPr>
        <w:ind w:left="0" w:right="0" w:firstLine="709"/>
        <w:jc w:val="both"/>
        <w:spacing w:after="60" w:line="276" w:lineRule="auto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Состояние объектов</w:t>
      </w:r>
      <w:r>
        <w:rPr>
          <w:bCs/>
          <w:strike w:val="0"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после ремонта железнодорожных путей должно соответствовать требованиям нормативно-технической документации на ремонт в течение гарантийного срока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4"/>
          <w:szCs w:val="24"/>
          <w:highlight w:val="none"/>
        </w:rPr>
      </w:pPr>
      <w:r>
        <w:rPr>
          <w:b/>
          <w:color w:val="000000"/>
          <w:sz w:val="22"/>
          <w:szCs w:val="24"/>
        </w:rPr>
        <w:t xml:space="preserve">2</w:t>
      </w:r>
      <w:r>
        <w:rPr>
          <w:b/>
          <w:color w:val="000000"/>
          <w:sz w:val="24"/>
          <w:szCs w:val="24"/>
        </w:rPr>
        <w:t xml:space="preserve">.2. Требования к оформлению документации</w:t>
      </w: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</w:p>
    <w:p>
      <w:pPr>
        <w:ind w:firstLine="567"/>
        <w:spacing w:line="271" w:lineRule="auto"/>
        <w:widowControl w:val="off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b/>
          <w:color w:val="000000"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2.2.1. Общие требования к оформлению документации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left="0" w:right="0" w:firstLine="425"/>
        <w:jc w:val="both"/>
        <w:spacing w:before="60" w:line="276" w:lineRule="auto"/>
        <w:rPr>
          <w:sz w:val="24"/>
          <w:szCs w:val="24"/>
          <w:highlight w:val="none"/>
        </w:rPr>
      </w:pPr>
      <w:r>
        <w:rPr>
          <w:iCs/>
          <w:sz w:val="24"/>
          <w:szCs w:val="24"/>
          <w:highlight w:val="white"/>
        </w:rPr>
        <w:t xml:space="preserve">Предоставить Заказчику электронные версии Акта </w:t>
      </w:r>
      <w:r>
        <w:rPr>
          <w:iCs/>
          <w:sz w:val="24"/>
          <w:szCs w:val="24"/>
          <w:highlight w:val="white"/>
        </w:rPr>
        <w:br/>
        <w:t xml:space="preserve">КС-2 и Справки КС-3 на цифровом носителе в формате *</w:t>
      </w:r>
      <w:r>
        <w:rPr>
          <w:iCs/>
          <w:sz w:val="24"/>
          <w:szCs w:val="24"/>
          <w:highlight w:val="white"/>
        </w:rPr>
        <w:t xml:space="preserve">gsfx</w:t>
      </w:r>
      <w:r>
        <w:rPr>
          <w:iCs/>
          <w:sz w:val="24"/>
          <w:szCs w:val="24"/>
          <w:highlight w:val="white"/>
        </w:rPr>
        <w:t xml:space="preserve"> ПК «ГРАНД Сметы», в формате *.</w:t>
      </w:r>
      <w:r>
        <w:rPr>
          <w:iCs/>
          <w:sz w:val="24"/>
          <w:szCs w:val="24"/>
          <w:highlight w:val="white"/>
        </w:rPr>
        <w:t xml:space="preserve">pdf</w:t>
      </w:r>
      <w:r>
        <w:rPr>
          <w:iCs/>
          <w:sz w:val="24"/>
          <w:szCs w:val="24"/>
          <w:highlight w:val="white"/>
        </w:rPr>
        <w:t xml:space="preserve">) и на бумажном носителе в 3-х экземплярах, исполнительную </w:t>
      </w:r>
      <w:r>
        <w:rPr>
          <w:iCs/>
          <w:sz w:val="24"/>
          <w:szCs w:val="24"/>
          <w:highlight w:val="white"/>
        </w:rPr>
        <w:t xml:space="preserve">и сдаточную </w:t>
      </w:r>
      <w:r>
        <w:rPr>
          <w:iCs/>
          <w:sz w:val="24"/>
          <w:szCs w:val="24"/>
          <w:highlight w:val="white"/>
        </w:rPr>
        <w:t xml:space="preserve">документацию в электронном виде (в формате *</w:t>
      </w:r>
      <w:r>
        <w:rPr>
          <w:iCs/>
          <w:sz w:val="24"/>
          <w:szCs w:val="24"/>
          <w:highlight w:val="white"/>
        </w:rPr>
        <w:t xml:space="preserve">.</w:t>
      </w:r>
      <w:r>
        <w:rPr>
          <w:iCs/>
          <w:sz w:val="24"/>
          <w:szCs w:val="24"/>
          <w:highlight w:val="white"/>
        </w:rPr>
        <w:t xml:space="preserve">pdf</w:t>
      </w:r>
      <w:r>
        <w:rPr>
          <w:iCs/>
          <w:sz w:val="24"/>
          <w:szCs w:val="24"/>
          <w:highlight w:val="white"/>
        </w:rPr>
        <w:t xml:space="preserve">) и на бумажном носителе в 2</w:t>
      </w:r>
      <w:r>
        <w:rPr>
          <w:iCs/>
          <w:sz w:val="24"/>
          <w:szCs w:val="24"/>
          <w:highlight w:val="white"/>
        </w:rPr>
        <w:t xml:space="preserve">-х экземплярах.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425"/>
        <w:jc w:val="both"/>
        <w:spacing w:before="60" w:line="276" w:lineRule="auto"/>
        <w:rPr>
          <w:b/>
          <w:bCs/>
          <w:color w:val="000000" w:themeColor="text1"/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  <w:t xml:space="preserve">Исп</w:t>
      </w:r>
      <w:r>
        <w:rPr>
          <w:iCs/>
          <w:sz w:val="24"/>
          <w:szCs w:val="24"/>
          <w:highlight w:val="white"/>
        </w:rPr>
        <w:t xml:space="preserve">олнительная документация должна быть оформлена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перевооружения.», утвержденным приказом № 555 от </w:t>
      </w:r>
      <w:r>
        <w:rPr>
          <w:iCs/>
          <w:sz w:val="24"/>
          <w:szCs w:val="24"/>
          <w:highlight w:val="white"/>
        </w:rPr>
        <w:t xml:space="preserve">29.11.2019 г. АО «ДГК»</w:t>
      </w:r>
      <w:r>
        <w:rPr>
          <w:iCs/>
          <w:sz w:val="24"/>
          <w:szCs w:val="24"/>
          <w:highlight w:val="none"/>
        </w:rPr>
        <w:t xml:space="preserve">, приказ </w:t>
      </w:r>
      <w:r>
        <w:rPr>
          <w:iCs/>
          <w:sz w:val="24"/>
          <w:szCs w:val="24"/>
          <w:highlight w:val="none"/>
        </w:rPr>
        <w:t xml:space="preserve">ЖКХ № 344</w:t>
      </w:r>
      <w:r>
        <w:rPr>
          <w:iCs/>
          <w:sz w:val="24"/>
          <w:szCs w:val="24"/>
          <w:highlight w:val="white"/>
        </w:rPr>
        <w:t xml:space="preserve">/пр</w:t>
      </w:r>
      <w:r>
        <w:rPr>
          <w:iCs/>
          <w:sz w:val="24"/>
          <w:szCs w:val="24"/>
          <w:highlight w:val="none"/>
        </w:rPr>
        <w:t xml:space="preserve"> от 16.05.2023 </w:t>
      </w:r>
      <w:r>
        <w:rPr>
          <w:iCs/>
          <w:sz w:val="24"/>
          <w:szCs w:val="24"/>
          <w:highlight w:val="white"/>
        </w:rPr>
        <w:t xml:space="preserve">г.</w:t>
      </w:r>
      <w:r>
        <w:rPr>
          <w:iCs/>
          <w:sz w:val="24"/>
          <w:szCs w:val="24"/>
          <w:highlight w:val="white"/>
        </w:rPr>
        <w:t xml:space="preserve"> </w:t>
      </w:r>
      <w:r>
        <w:rPr>
          <w:iCs/>
          <w:sz w:val="24"/>
          <w:szCs w:val="24"/>
          <w:highlight w:val="none"/>
        </w:rPr>
        <w:t xml:space="preserve">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</w:r>
      <w:r>
        <w:rPr>
          <w:b/>
          <w:bCs/>
          <w:color w:val="000000" w:themeColor="text1"/>
          <w:sz w:val="24"/>
          <w:szCs w:val="24"/>
          <w:highlight w:val="white"/>
        </w:rPr>
      </w:r>
      <w:r>
        <w:rPr>
          <w:b/>
          <w:bCs/>
          <w:color w:val="000000" w:themeColor="text1"/>
          <w:sz w:val="24"/>
          <w:szCs w:val="24"/>
          <w:highlight w:val="white"/>
        </w:rPr>
      </w:r>
    </w:p>
    <w:p>
      <w:pPr>
        <w:ind w:left="0" w:right="0" w:firstLine="425"/>
        <w:jc w:val="both"/>
        <w:spacing w:before="60"/>
        <w:rPr>
          <w:b/>
          <w:bCs/>
          <w:strike/>
          <w:color w:val="000000" w:themeColor="text1"/>
          <w:sz w:val="24"/>
          <w:szCs w:val="24"/>
          <w:highlight w:val="yellow"/>
        </w:rPr>
      </w:pPr>
      <w:r>
        <w:rPr>
          <w:iCs/>
          <w:sz w:val="24"/>
          <w:szCs w:val="24"/>
          <w:highlight w:val="none"/>
        </w:rPr>
      </w:r>
      <w:r>
        <w:rPr>
          <w:b/>
          <w:bCs/>
          <w:strike/>
          <w:color w:val="000000" w:themeColor="text1"/>
          <w:sz w:val="24"/>
          <w:szCs w:val="24"/>
          <w:highlight w:val="yellow"/>
        </w:rPr>
      </w:r>
      <w:r>
        <w:rPr>
          <w:b/>
          <w:bCs/>
          <w:strike/>
          <w:color w:val="000000" w:themeColor="text1"/>
          <w:sz w:val="24"/>
          <w:szCs w:val="24"/>
          <w:highlight w:val="yellow"/>
        </w:rPr>
      </w:r>
    </w:p>
    <w:p>
      <w:pPr>
        <w:ind w:left="0" w:right="0" w:firstLine="709"/>
        <w:spacing w:line="271" w:lineRule="auto"/>
        <w:widowControl w:val="off"/>
        <w:tabs>
          <w:tab w:val="left" w:pos="709" w:leader="none"/>
          <w:tab w:val="left" w:pos="1418" w:leader="none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4"/>
        </w:rPr>
        <w:t xml:space="preserve">2.2.2. Состав документации включает в себя, но не ограничивается следующими документами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акт пред. ремонтного обследования объекта;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ведомость планируемых ремонтно-строительных работ;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акт готовности объекта к производству ремонтных работ;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акт приёмки из ремонта объекта;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акт освидетельствования скрытых работ;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исполнительные чертежи, схемы;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сертификаты, подтверждающие качество и соответствие требованиям нормативно-технической документации материалов (форма завода – изготовителя);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счета-фактуры на материалы, закупаемые Подрядчиком для использования в процессе ремонта;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906"/>
        <w:numPr>
          <w:ilvl w:val="0"/>
          <w:numId w:val="57"/>
        </w:numPr>
        <w:ind w:left="27" w:right="0" w:firstLine="398"/>
        <w:spacing w:line="276" w:lineRule="auto"/>
        <w:rPr>
          <w:iCs/>
          <w:highlight w:val="white"/>
        </w:rPr>
      </w:pPr>
      <w:r>
        <w:rPr>
          <w:iCs/>
          <w:sz w:val="24"/>
          <w:szCs w:val="24"/>
          <w:highlight w:val="white"/>
        </w:rPr>
        <w:t xml:space="preserve">общий журнал работ формы КС-6, специальные журналы работ (соответствующие видам выполняемых работ).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jc w:val="both"/>
        <w:spacing w:after="60" w:line="271" w:lineRule="auto"/>
        <w:rPr>
          <w:rFonts w:eastAsia="Calibri"/>
          <w:bCs/>
          <w:sz w:val="24"/>
          <w:szCs w:val="24"/>
          <w:highlight w:val="white"/>
        </w:rPr>
      </w:pP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  <w:r>
        <w:rPr>
          <w:rFonts w:eastAsia="Calibri"/>
          <w:bCs/>
          <w:sz w:val="24"/>
          <w:szCs w:val="24"/>
          <w:highlight w:val="white"/>
        </w:rPr>
      </w:r>
    </w:p>
    <w:p>
      <w:pPr>
        <w:ind w:firstLine="709"/>
        <w:spacing w:line="276" w:lineRule="auto"/>
        <w:widowControl w:val="off"/>
        <w:tabs>
          <w:tab w:val="left" w:pos="709" w:leader="none"/>
          <w:tab w:val="left" w:pos="1418" w:leader="none"/>
        </w:tabs>
        <w:rPr>
          <w:b/>
          <w:bCs/>
          <w:color w:val="000000"/>
          <w:sz w:val="22"/>
          <w:szCs w:val="22"/>
          <w:highlight w:val="none"/>
        </w:rPr>
      </w:pPr>
      <w:r>
        <w:rPr>
          <w:b/>
          <w:bCs/>
          <w:color w:val="000000"/>
          <w:sz w:val="22"/>
          <w:szCs w:val="24"/>
        </w:rPr>
        <w:t xml:space="preserve">3. 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ТЗ)</w:t>
      </w:r>
      <w:r>
        <w:rPr>
          <w:b/>
          <w:bCs/>
          <w:color w:val="000000"/>
          <w:sz w:val="22"/>
          <w:szCs w:val="22"/>
          <w:highlight w:val="none"/>
        </w:rPr>
      </w:r>
      <w:r>
        <w:rPr>
          <w:b/>
          <w:bCs/>
          <w:color w:val="000000"/>
          <w:sz w:val="22"/>
          <w:szCs w:val="22"/>
          <w:highlight w:val="none"/>
        </w:rPr>
      </w:r>
    </w:p>
    <w:p>
      <w:pPr>
        <w:ind w:left="0" w:right="0" w:firstLine="709"/>
        <w:jc w:val="both"/>
        <w:spacing w:before="60" w:line="276" w:lineRule="auto"/>
        <w:widowControl w:val="off"/>
        <w:tabs>
          <w:tab w:val="left" w:pos="426" w:leader="none"/>
        </w:tabs>
        <w:rPr>
          <w:bCs/>
          <w:iCs/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Перечень национальных стандартов и сводов правил (частей таких станда</w:t>
      </w:r>
      <w:r>
        <w:rPr>
          <w:bCs/>
          <w:iCs/>
          <w:sz w:val="24"/>
          <w:szCs w:val="24"/>
          <w:highlight w:val="white"/>
        </w:rPr>
        <w:t xml:space="preserve">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(утв. Постановлением Правительства РФ от 28 мая 2021 г. N815);</w:t>
      </w: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</w:p>
    <w:p>
      <w:pPr>
        <w:pStyle w:val="906"/>
        <w:numPr>
          <w:ilvl w:val="0"/>
          <w:numId w:val="73"/>
        </w:numPr>
        <w:ind w:left="0" w:right="0" w:firstLine="709"/>
        <w:jc w:val="both"/>
        <w:spacing w:before="60" w:line="276" w:lineRule="auto"/>
        <w:widowControl w:val="off"/>
        <w:tabs>
          <w:tab w:val="left" w:pos="426" w:leader="none"/>
        </w:tabs>
        <w:rPr>
          <w:bCs/>
          <w:iCs/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Федеральный законом «О техническом регулировании» №184- ФЗ от 27.12.2002;</w:t>
      </w: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</w:p>
    <w:p>
      <w:pPr>
        <w:pStyle w:val="906"/>
        <w:numPr>
          <w:ilvl w:val="0"/>
          <w:numId w:val="73"/>
        </w:numPr>
        <w:ind w:left="0" w:right="0" w:firstLine="709"/>
        <w:jc w:val="both"/>
        <w:spacing w:before="60" w:line="276" w:lineRule="auto"/>
        <w:widowControl w:val="off"/>
        <w:tabs>
          <w:tab w:val="left" w:pos="426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"Правила промышленной безопасности при использовании оборудования, работающего под избыточным давлением"</w:t>
      </w:r>
      <w:r>
        <w:rPr>
          <w:rStyle w:val="1254"/>
          <w:color w:val="000000" w:themeColor="text1"/>
          <w:sz w:val="24"/>
          <w:szCs w:val="24"/>
          <w:highlight w:val="white"/>
        </w:rPr>
        <w:t xml:space="preserve"> утвержденные приказом Федеральной службой по экологическому, технологическому и атомному надзору от 15.12.2020 г. №536</w:t>
      </w:r>
      <w:r>
        <w:rPr>
          <w:rStyle w:val="1254"/>
          <w:color w:val="000000" w:themeColor="text1"/>
          <w:sz w:val="24"/>
          <w:szCs w:val="24"/>
        </w:rPr>
        <w:t xml:space="preserve">;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906"/>
        <w:numPr>
          <w:ilvl w:val="0"/>
          <w:numId w:val="73"/>
        </w:numPr>
        <w:ind w:left="0" w:right="0" w:firstLine="709"/>
        <w:jc w:val="both"/>
        <w:spacing w:before="60" w:line="276" w:lineRule="auto"/>
        <w:widowControl w:val="off"/>
        <w:tabs>
          <w:tab w:val="left" w:pos="42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"Правила безопасности опасных производственных объектов, на которых используются подъемные сооружения" </w:t>
      </w:r>
      <w:r>
        <w:rPr>
          <w:rStyle w:val="1254"/>
          <w:color w:val="000000" w:themeColor="text1"/>
          <w:sz w:val="24"/>
          <w:szCs w:val="24"/>
          <w:highlight w:val="white"/>
        </w:rPr>
        <w:t xml:space="preserve">утвержденные приказом Федеральной службой по экологическому и атомному надзору от 26.11.2020 г. № 461.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906"/>
        <w:numPr>
          <w:ilvl w:val="0"/>
          <w:numId w:val="73"/>
        </w:numPr>
        <w:ind w:left="0" w:right="0" w:firstLine="709"/>
        <w:jc w:val="both"/>
        <w:spacing w:before="60" w:line="276" w:lineRule="auto"/>
        <w:widowControl w:val="off"/>
        <w:tabs>
          <w:tab w:val="left" w:pos="426" w:leader="none"/>
        </w:tabs>
        <w:rPr>
          <w:iCs/>
          <w:color w:val="000000" w:themeColor="text1"/>
          <w:sz w:val="24"/>
          <w:szCs w:val="24"/>
          <w:highlight w:val="none"/>
        </w:rPr>
      </w:pPr>
      <w:r>
        <w:rPr>
          <w:rStyle w:val="1254"/>
          <w:color w:val="000000" w:themeColor="text1"/>
          <w:sz w:val="24"/>
          <w:szCs w:val="24"/>
        </w:rPr>
        <w:t xml:space="preserve">Подрядчик обязан руководствоваться положением по формированию и управлению  работой аварийных бригад при выполнении аварийных работ на оборудовании СП филиалов АО «ДГК» 21-004-2017. </w:t>
      </w:r>
      <w:r>
        <w:rPr>
          <w:iCs/>
          <w:color w:val="000000" w:themeColor="text1"/>
          <w:sz w:val="24"/>
          <w:szCs w:val="24"/>
          <w:highlight w:val="none"/>
        </w:rPr>
      </w:r>
      <w:r>
        <w:rPr>
          <w:iCs/>
          <w:color w:val="000000" w:themeColor="text1"/>
          <w:sz w:val="24"/>
          <w:szCs w:val="24"/>
          <w:highlight w:val="none"/>
        </w:rPr>
      </w:r>
    </w:p>
    <w:p>
      <w:pPr>
        <w:jc w:val="both"/>
        <w:spacing w:line="271" w:lineRule="auto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</w:p>
    <w:p>
      <w:pPr>
        <w:numPr>
          <w:ilvl w:val="0"/>
          <w:numId w:val="20"/>
        </w:numPr>
        <w:ind w:hanging="11"/>
        <w:jc w:val="both"/>
        <w:spacing w:line="276" w:lineRule="auto"/>
        <w:tabs>
          <w:tab w:val="center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Перечень объектов ремонта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both"/>
        <w:spacing w:line="276" w:lineRule="auto"/>
        <w:tabs>
          <w:tab w:val="center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left"/>
        <w:spacing w:line="276" w:lineRule="auto"/>
        <w:tabs>
          <w:tab w:val="center" w:pos="426" w:leader="none"/>
          <w:tab w:val="left" w:pos="709" w:leader="none"/>
          <w:tab w:val="center" w:pos="993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white"/>
        </w:rPr>
        <w:tab/>
        <w:tab/>
      </w:r>
      <w:r>
        <w:rPr>
          <w:b w:val="0"/>
          <w:bCs w:val="0"/>
          <w:sz w:val="24"/>
          <w:szCs w:val="24"/>
          <w:highlight w:val="white"/>
        </w:rPr>
        <w:t xml:space="preserve">4.1. </w:t>
      </w:r>
      <w:r>
        <w:rPr>
          <w:b w:val="0"/>
          <w:bCs w:val="0"/>
          <w:sz w:val="24"/>
          <w:szCs w:val="24"/>
          <w:highlight w:val="white"/>
        </w:rPr>
        <w:t xml:space="preserve">Железнодорожные пути к топливоподачи Инв. № 00000000000000008512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142" w:hanging="142"/>
        <w:jc w:val="both"/>
        <w:spacing w:line="271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0"/>
          <w:numId w:val="20"/>
        </w:numPr>
        <w:ind w:left="0" w:right="0" w:firstLine="709"/>
        <w:jc w:val="both"/>
        <w:spacing w:line="271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0" w:firstLine="709"/>
        <w:jc w:val="both"/>
        <w:spacing w:line="271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7"/>
        </w:numPr>
        <w:ind w:left="0" w:right="0" w:firstLine="709"/>
        <w:jc w:val="both"/>
        <w:spacing w:line="271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Ведомость объёмов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7"/>
        </w:numPr>
        <w:ind w:left="0" w:right="0" w:firstLine="709"/>
        <w:jc w:val="both"/>
        <w:spacing w:line="271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Ведомость материалов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7"/>
        </w:numPr>
        <w:ind w:left="0" w:right="0" w:firstLine="709"/>
        <w:jc w:val="both"/>
        <w:spacing w:line="271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Перечень </w:t>
      </w:r>
      <w:r>
        <w:rPr>
          <w:rFonts w:ascii="Times New Roman" w:hAnsi="Times New Roman"/>
          <w:sz w:val="24"/>
          <w:szCs w:val="24"/>
        </w:rPr>
        <w:t xml:space="preserve">основных мероприятий по обеспечению безопасных условий труда при </w:t>
      </w:r>
      <w:r>
        <w:rPr>
          <w:rFonts w:ascii="Times New Roman" w:hAnsi="Times New Roman"/>
          <w:sz w:val="24"/>
          <w:szCs w:val="24"/>
        </w:rPr>
        <w:t xml:space="preserve">проведении ремонта </w:t>
      </w:r>
      <w:r>
        <w:rPr>
          <w:rFonts w:ascii="Times New Roman" w:hAnsi="Times New Roman"/>
          <w:sz w:val="24"/>
          <w:szCs w:val="24"/>
        </w:rPr>
        <w:t xml:space="preserve">зданий и сооружений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360" w:right="0" w:firstLine="0"/>
        <w:jc w:val="both"/>
        <w:spacing w:line="271" w:lineRule="auto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Заказчик:        </w:t>
      </w:r>
      <w:r>
        <w:rPr>
          <w:sz w:val="24"/>
          <w:szCs w:val="24"/>
        </w:rPr>
        <w:tab/>
        <w:tab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Подрядчик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___________ / ____________                                                    ____________/  __________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709" w:right="851" w:bottom="538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Lucida Sans Unicode">
    <w:panose1 w:val="020B060303080402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  <w:rPr>
        <w:rStyle w:val="1073"/>
        <w:sz w:val="16"/>
        <w:szCs w:val="16"/>
      </w:rPr>
      <w:framePr w:wrap="around" w:vAnchor="text" w:hAnchor="margin" w:xAlign="right" w:y="1"/>
    </w:pPr>
    <w:r>
      <w:rPr>
        <w:rStyle w:val="1073"/>
        <w:sz w:val="16"/>
        <w:szCs w:val="16"/>
      </w:rPr>
      <w:fldChar w:fldCharType="begin"/>
    </w:r>
    <w:r>
      <w:rPr>
        <w:rStyle w:val="1073"/>
        <w:sz w:val="16"/>
        <w:szCs w:val="16"/>
      </w:rPr>
      <w:instrText xml:space="preserve">PAGE  </w:instrText>
    </w:r>
    <w:r>
      <w:rPr>
        <w:rStyle w:val="1073"/>
        <w:sz w:val="16"/>
        <w:szCs w:val="16"/>
      </w:rPr>
      <w:fldChar w:fldCharType="separate"/>
    </w:r>
    <w:r>
      <w:rPr>
        <w:rStyle w:val="1073"/>
        <w:sz w:val="16"/>
        <w:szCs w:val="16"/>
      </w:rPr>
      <w:t xml:space="preserve">7</w:t>
    </w:r>
    <w:r>
      <w:rPr>
        <w:rStyle w:val="1073"/>
        <w:sz w:val="16"/>
        <w:szCs w:val="16"/>
      </w:rPr>
      <w:fldChar w:fldCharType="end"/>
    </w:r>
    <w:r>
      <w:rPr>
        <w:rStyle w:val="1073"/>
        <w:sz w:val="16"/>
        <w:szCs w:val="16"/>
      </w:rPr>
    </w:r>
    <w:r>
      <w:rPr>
        <w:rStyle w:val="1073"/>
        <w:sz w:val="16"/>
        <w:szCs w:val="16"/>
      </w:rPr>
    </w:r>
  </w:p>
  <w:p>
    <w:pPr>
      <w:pStyle w:val="918"/>
      <w:ind w:right="360"/>
      <w:rPr>
        <w:rStyle w:val="1073"/>
      </w:rPr>
      <w:framePr w:wrap="around" w:vAnchor="text" w:hAnchor="margin" w:xAlign="center" w:y="1"/>
    </w:pPr>
    <w:r>
      <w:rPr>
        <w:rStyle w:val="1073"/>
      </w:rPr>
    </w:r>
    <w:r>
      <w:rPr>
        <w:rStyle w:val="1073"/>
      </w:rPr>
    </w:r>
    <w:r>
      <w:rPr>
        <w:rStyle w:val="1073"/>
      </w:rPr>
    </w:r>
  </w:p>
  <w:p>
    <w:pPr>
      <w:pStyle w:val="91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  <w:rPr>
        <w:rStyle w:val="1073"/>
      </w:rPr>
      <w:framePr w:wrap="around" w:vAnchor="text" w:hAnchor="margin" w:xAlign="right" w:y="1"/>
    </w:pPr>
    <w:r>
      <w:rPr>
        <w:rStyle w:val="1073"/>
      </w:rPr>
      <w:fldChar w:fldCharType="begin"/>
    </w:r>
    <w:r>
      <w:rPr>
        <w:rStyle w:val="1073"/>
      </w:rPr>
      <w:instrText xml:space="preserve">PAGE  </w:instrText>
    </w:r>
    <w:r>
      <w:rPr>
        <w:rStyle w:val="1073"/>
      </w:rPr>
      <w:fldChar w:fldCharType="end"/>
    </w:r>
    <w:r>
      <w:rPr>
        <w:rStyle w:val="1073"/>
      </w:rPr>
    </w:r>
    <w:r>
      <w:rPr>
        <w:rStyle w:val="1073"/>
      </w:rPr>
    </w:r>
  </w:p>
  <w:p>
    <w:pPr>
      <w:pStyle w:val="91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8" w:hanging="360"/>
        <w:tabs>
          <w:tab w:val="num" w:pos="38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08" w:hanging="360"/>
        <w:tabs>
          <w:tab w:val="num" w:pos="110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28" w:hanging="180"/>
        <w:tabs>
          <w:tab w:val="num" w:pos="182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48" w:hanging="360"/>
        <w:tabs>
          <w:tab w:val="num" w:pos="254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68" w:hanging="360"/>
        <w:tabs>
          <w:tab w:val="num" w:pos="326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88" w:hanging="180"/>
        <w:tabs>
          <w:tab w:val="num" w:pos="398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08" w:hanging="360"/>
        <w:tabs>
          <w:tab w:val="num" w:pos="470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28" w:hanging="360"/>
        <w:tabs>
          <w:tab w:val="num" w:pos="542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48" w:hanging="180"/>
        <w:tabs>
          <w:tab w:val="num" w:pos="6148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0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9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3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0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0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44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375"/>
        <w:tabs>
          <w:tab w:val="num" w:pos="109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9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3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0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0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44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96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pStyle w:val="1127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23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6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pStyle w:val="123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pStyle w:val="123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9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1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3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5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9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1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53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04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14"/>
  </w:num>
  <w:num w:numId="3">
    <w:abstractNumId w:val="28"/>
  </w:num>
  <w:num w:numId="4">
    <w:abstractNumId w:val="13"/>
  </w:num>
  <w:num w:numId="5">
    <w:abstractNumId w:val="2"/>
  </w:num>
  <w:num w:numId="6">
    <w:abstractNumId w:val="25"/>
  </w:num>
  <w:num w:numId="7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2"/>
  </w:num>
  <w:num w:numId="10">
    <w:abstractNumId w:val="26"/>
  </w:num>
  <w:num w:numId="11">
    <w:abstractNumId w:val="15"/>
  </w:num>
  <w:num w:numId="12">
    <w:abstractNumId w:val="8"/>
  </w:num>
  <w:num w:numId="13">
    <w:abstractNumId w:val="11"/>
  </w:num>
  <w:num w:numId="14">
    <w:abstractNumId w:val="5"/>
  </w:num>
  <w:num w:numId="15">
    <w:abstractNumId w:val="1"/>
  </w:num>
  <w:num w:numId="16">
    <w:abstractNumId w:val="17"/>
  </w:num>
  <w:num w:numId="17">
    <w:abstractNumId w:val="7"/>
  </w:num>
  <w:num w:numId="18">
    <w:abstractNumId w:val="4"/>
  </w:num>
  <w:num w:numId="19">
    <w:abstractNumId w:val="0"/>
  </w:num>
  <w:num w:numId="20">
    <w:abstractNumId w:val="3"/>
  </w:num>
  <w:num w:numId="21">
    <w:abstractNumId w:val="16"/>
  </w:num>
  <w:num w:numId="22">
    <w:abstractNumId w:val="24"/>
  </w:num>
  <w:num w:numId="23">
    <w:abstractNumId w:val="9"/>
  </w:num>
  <w:num w:numId="24">
    <w:abstractNumId w:val="23"/>
  </w:num>
  <w:num w:numId="25">
    <w:abstractNumId w:val="18"/>
  </w:num>
  <w:num w:numId="26">
    <w:abstractNumId w:val="27"/>
  </w:num>
  <w:num w:numId="27">
    <w:abstractNumId w:val="12"/>
  </w:num>
  <w:num w:numId="28">
    <w:abstractNumId w:val="20"/>
  </w:num>
  <w:num w:numId="29">
    <w:abstractNumId w:val="6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8">
    <w:name w:val="Heading 1 Char"/>
    <w:basedOn w:val="894"/>
    <w:link w:val="885"/>
    <w:uiPriority w:val="9"/>
    <w:rPr>
      <w:rFonts w:ascii="Arial" w:hAnsi="Arial" w:eastAsia="Arial" w:cs="Arial"/>
      <w:sz w:val="40"/>
      <w:szCs w:val="40"/>
    </w:rPr>
  </w:style>
  <w:style w:type="character" w:styleId="869">
    <w:name w:val="Heading 2 Char"/>
    <w:basedOn w:val="894"/>
    <w:link w:val="886"/>
    <w:uiPriority w:val="9"/>
    <w:rPr>
      <w:rFonts w:ascii="Arial" w:hAnsi="Arial" w:eastAsia="Arial" w:cs="Arial"/>
      <w:sz w:val="34"/>
    </w:rPr>
  </w:style>
  <w:style w:type="character" w:styleId="870">
    <w:name w:val="Heading 3 Char"/>
    <w:basedOn w:val="894"/>
    <w:link w:val="887"/>
    <w:uiPriority w:val="9"/>
    <w:rPr>
      <w:rFonts w:ascii="Arial" w:hAnsi="Arial" w:eastAsia="Arial" w:cs="Arial"/>
      <w:sz w:val="30"/>
      <w:szCs w:val="30"/>
    </w:rPr>
  </w:style>
  <w:style w:type="character" w:styleId="871">
    <w:name w:val="Heading 4 Char"/>
    <w:basedOn w:val="894"/>
    <w:link w:val="888"/>
    <w:uiPriority w:val="9"/>
    <w:rPr>
      <w:rFonts w:ascii="Arial" w:hAnsi="Arial" w:eastAsia="Arial" w:cs="Arial"/>
      <w:b/>
      <w:bCs/>
      <w:sz w:val="26"/>
      <w:szCs w:val="26"/>
    </w:rPr>
  </w:style>
  <w:style w:type="character" w:styleId="872">
    <w:name w:val="Heading 5 Char"/>
    <w:basedOn w:val="894"/>
    <w:link w:val="889"/>
    <w:uiPriority w:val="9"/>
    <w:rPr>
      <w:rFonts w:ascii="Arial" w:hAnsi="Arial" w:eastAsia="Arial" w:cs="Arial"/>
      <w:b/>
      <w:bCs/>
      <w:sz w:val="24"/>
      <w:szCs w:val="24"/>
    </w:rPr>
  </w:style>
  <w:style w:type="character" w:styleId="873">
    <w:name w:val="Heading 6 Char"/>
    <w:basedOn w:val="894"/>
    <w:link w:val="890"/>
    <w:uiPriority w:val="9"/>
    <w:rPr>
      <w:rFonts w:ascii="Arial" w:hAnsi="Arial" w:eastAsia="Arial" w:cs="Arial"/>
      <w:b/>
      <w:bCs/>
      <w:sz w:val="22"/>
      <w:szCs w:val="22"/>
    </w:rPr>
  </w:style>
  <w:style w:type="character" w:styleId="874">
    <w:name w:val="Heading 8 Char"/>
    <w:basedOn w:val="894"/>
    <w:link w:val="892"/>
    <w:uiPriority w:val="9"/>
    <w:rPr>
      <w:rFonts w:ascii="Arial" w:hAnsi="Arial" w:eastAsia="Arial" w:cs="Arial"/>
      <w:i/>
      <w:iCs/>
      <w:sz w:val="22"/>
      <w:szCs w:val="22"/>
    </w:rPr>
  </w:style>
  <w:style w:type="character" w:styleId="875">
    <w:name w:val="Heading 9 Char"/>
    <w:basedOn w:val="894"/>
    <w:link w:val="893"/>
    <w:uiPriority w:val="9"/>
    <w:rPr>
      <w:rFonts w:ascii="Arial" w:hAnsi="Arial" w:eastAsia="Arial" w:cs="Arial"/>
      <w:i/>
      <w:iCs/>
      <w:sz w:val="21"/>
      <w:szCs w:val="21"/>
    </w:rPr>
  </w:style>
  <w:style w:type="character" w:styleId="876">
    <w:name w:val="Title Char"/>
    <w:basedOn w:val="894"/>
    <w:link w:val="908"/>
    <w:uiPriority w:val="10"/>
    <w:rPr>
      <w:sz w:val="48"/>
      <w:szCs w:val="48"/>
    </w:rPr>
  </w:style>
  <w:style w:type="character" w:styleId="877">
    <w:name w:val="Subtitle Char"/>
    <w:basedOn w:val="894"/>
    <w:link w:val="910"/>
    <w:uiPriority w:val="11"/>
    <w:rPr>
      <w:sz w:val="24"/>
      <w:szCs w:val="24"/>
    </w:rPr>
  </w:style>
  <w:style w:type="character" w:styleId="878">
    <w:name w:val="Quote Char"/>
    <w:link w:val="912"/>
    <w:uiPriority w:val="29"/>
    <w:rPr>
      <w:i/>
    </w:rPr>
  </w:style>
  <w:style w:type="character" w:styleId="879">
    <w:name w:val="Intense Quote Char"/>
    <w:link w:val="914"/>
    <w:uiPriority w:val="30"/>
    <w:rPr>
      <w:i/>
    </w:rPr>
  </w:style>
  <w:style w:type="character" w:styleId="880">
    <w:name w:val="Header Char"/>
    <w:basedOn w:val="894"/>
    <w:link w:val="916"/>
    <w:uiPriority w:val="99"/>
  </w:style>
  <w:style w:type="character" w:styleId="881">
    <w:name w:val="Caption Char"/>
    <w:basedOn w:val="920"/>
    <w:link w:val="918"/>
    <w:uiPriority w:val="99"/>
  </w:style>
  <w:style w:type="character" w:styleId="882">
    <w:name w:val="Footnote Text Char"/>
    <w:link w:val="1049"/>
    <w:uiPriority w:val="99"/>
    <w:rPr>
      <w:sz w:val="18"/>
    </w:rPr>
  </w:style>
  <w:style w:type="character" w:styleId="883">
    <w:name w:val="Endnote Text Char"/>
    <w:link w:val="1052"/>
    <w:uiPriority w:val="99"/>
    <w:rPr>
      <w:sz w:val="20"/>
    </w:rPr>
  </w:style>
  <w:style w:type="paragraph" w:styleId="884" w:default="1">
    <w:name w:val="Normal"/>
    <w:qFormat/>
  </w:style>
  <w:style w:type="paragraph" w:styleId="885">
    <w:name w:val="Heading 1"/>
    <w:basedOn w:val="884"/>
    <w:next w:val="884"/>
    <w:link w:val="8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86">
    <w:name w:val="Heading 2"/>
    <w:basedOn w:val="884"/>
    <w:next w:val="884"/>
    <w:link w:val="898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87">
    <w:name w:val="Heading 3"/>
    <w:basedOn w:val="884"/>
    <w:next w:val="884"/>
    <w:link w:val="8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88">
    <w:name w:val="Heading 4"/>
    <w:basedOn w:val="884"/>
    <w:next w:val="884"/>
    <w:link w:val="90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89">
    <w:name w:val="Heading 5"/>
    <w:basedOn w:val="884"/>
    <w:next w:val="884"/>
    <w:link w:val="90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0">
    <w:name w:val="Heading 6"/>
    <w:basedOn w:val="884"/>
    <w:next w:val="884"/>
    <w:link w:val="902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91">
    <w:name w:val="Heading 7"/>
    <w:basedOn w:val="884"/>
    <w:next w:val="884"/>
    <w:link w:val="1070"/>
    <w:qFormat/>
    <w:pPr>
      <w:spacing w:before="240" w:after="60"/>
      <w:outlineLvl w:val="6"/>
    </w:pPr>
    <w:rPr>
      <w:sz w:val="24"/>
      <w:szCs w:val="24"/>
    </w:rPr>
  </w:style>
  <w:style w:type="paragraph" w:styleId="892">
    <w:name w:val="Heading 8"/>
    <w:basedOn w:val="884"/>
    <w:next w:val="884"/>
    <w:link w:val="904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93">
    <w:name w:val="Heading 9"/>
    <w:basedOn w:val="884"/>
    <w:next w:val="884"/>
    <w:link w:val="905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94" w:default="1">
    <w:name w:val="Default Paragraph Font"/>
    <w:uiPriority w:val="1"/>
    <w:semiHidden/>
    <w:unhideWhenUsed/>
  </w:style>
  <w:style w:type="table" w:styleId="8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6" w:default="1">
    <w:name w:val="No List"/>
    <w:uiPriority w:val="99"/>
    <w:semiHidden/>
    <w:unhideWhenUsed/>
  </w:style>
  <w:style w:type="character" w:styleId="897" w:customStyle="1">
    <w:name w:val="Заголовок 1 Знак"/>
    <w:link w:val="885"/>
    <w:uiPriority w:val="9"/>
    <w:rPr>
      <w:rFonts w:ascii="Arial" w:hAnsi="Arial" w:eastAsia="Arial" w:cs="Arial"/>
      <w:sz w:val="40"/>
      <w:szCs w:val="40"/>
    </w:rPr>
  </w:style>
  <w:style w:type="character" w:styleId="898" w:customStyle="1">
    <w:name w:val="Заголовок 2 Знак"/>
    <w:link w:val="886"/>
    <w:uiPriority w:val="9"/>
    <w:rPr>
      <w:rFonts w:ascii="Arial" w:hAnsi="Arial" w:eastAsia="Arial" w:cs="Arial"/>
      <w:sz w:val="34"/>
    </w:rPr>
  </w:style>
  <w:style w:type="character" w:styleId="899" w:customStyle="1">
    <w:name w:val="Заголовок 3 Знак"/>
    <w:link w:val="887"/>
    <w:uiPriority w:val="9"/>
    <w:rPr>
      <w:rFonts w:ascii="Arial" w:hAnsi="Arial" w:eastAsia="Arial" w:cs="Arial"/>
      <w:sz w:val="30"/>
      <w:szCs w:val="30"/>
    </w:rPr>
  </w:style>
  <w:style w:type="character" w:styleId="900" w:customStyle="1">
    <w:name w:val="Заголовок 4 Знак"/>
    <w:link w:val="888"/>
    <w:uiPriority w:val="9"/>
    <w:rPr>
      <w:rFonts w:ascii="Arial" w:hAnsi="Arial" w:eastAsia="Arial" w:cs="Arial"/>
      <w:b/>
      <w:bCs/>
      <w:sz w:val="26"/>
      <w:szCs w:val="26"/>
    </w:rPr>
  </w:style>
  <w:style w:type="character" w:styleId="901" w:customStyle="1">
    <w:name w:val="Заголовок 5 Знак"/>
    <w:link w:val="889"/>
    <w:uiPriority w:val="9"/>
    <w:rPr>
      <w:rFonts w:ascii="Arial" w:hAnsi="Arial" w:eastAsia="Arial" w:cs="Arial"/>
      <w:b/>
      <w:bCs/>
      <w:sz w:val="24"/>
      <w:szCs w:val="24"/>
    </w:rPr>
  </w:style>
  <w:style w:type="character" w:styleId="902" w:customStyle="1">
    <w:name w:val="Заголовок 6 Знак"/>
    <w:link w:val="890"/>
    <w:uiPriority w:val="9"/>
    <w:rPr>
      <w:rFonts w:ascii="Arial" w:hAnsi="Arial" w:eastAsia="Arial" w:cs="Arial"/>
      <w:b/>
      <w:bCs/>
      <w:sz w:val="22"/>
      <w:szCs w:val="22"/>
    </w:rPr>
  </w:style>
  <w:style w:type="character" w:styleId="90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4" w:customStyle="1">
    <w:name w:val="Заголовок 8 Знак"/>
    <w:link w:val="892"/>
    <w:uiPriority w:val="9"/>
    <w:rPr>
      <w:rFonts w:ascii="Arial" w:hAnsi="Arial" w:eastAsia="Arial" w:cs="Arial"/>
      <w:i/>
      <w:iCs/>
      <w:sz w:val="22"/>
      <w:szCs w:val="22"/>
    </w:rPr>
  </w:style>
  <w:style w:type="character" w:styleId="905" w:customStyle="1">
    <w:name w:val="Заголовок 9 Знак"/>
    <w:link w:val="893"/>
    <w:uiPriority w:val="9"/>
    <w:rPr>
      <w:rFonts w:ascii="Arial" w:hAnsi="Arial" w:eastAsia="Arial" w:cs="Arial"/>
      <w:i/>
      <w:iCs/>
      <w:sz w:val="21"/>
      <w:szCs w:val="21"/>
    </w:rPr>
  </w:style>
  <w:style w:type="paragraph" w:styleId="906">
    <w:name w:val="List Paragraph"/>
    <w:basedOn w:val="884"/>
    <w:uiPriority w:val="34"/>
    <w:qFormat/>
    <w:pPr>
      <w:contextualSpacing/>
      <w:ind w:left="720"/>
    </w:pPr>
  </w:style>
  <w:style w:type="paragraph" w:styleId="907">
    <w:name w:val="No Spacing"/>
    <w:uiPriority w:val="1"/>
    <w:qFormat/>
    <w:pPr>
      <w:widowControl w:val="off"/>
    </w:pPr>
  </w:style>
  <w:style w:type="paragraph" w:styleId="908">
    <w:name w:val="Title"/>
    <w:basedOn w:val="884"/>
    <w:next w:val="884"/>
    <w:link w:val="909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909" w:customStyle="1">
    <w:name w:val="Заголовок Знак"/>
    <w:link w:val="908"/>
    <w:uiPriority w:val="10"/>
    <w:rPr>
      <w:sz w:val="48"/>
      <w:szCs w:val="48"/>
    </w:rPr>
  </w:style>
  <w:style w:type="paragraph" w:styleId="910">
    <w:name w:val="Subtitle"/>
    <w:basedOn w:val="884"/>
    <w:link w:val="911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911" w:customStyle="1">
    <w:name w:val="Подзаголовок Знак"/>
    <w:link w:val="910"/>
    <w:uiPriority w:val="11"/>
    <w:rPr>
      <w:sz w:val="24"/>
      <w:szCs w:val="24"/>
    </w:rPr>
  </w:style>
  <w:style w:type="paragraph" w:styleId="912">
    <w:name w:val="Quote"/>
    <w:basedOn w:val="884"/>
    <w:next w:val="884"/>
    <w:link w:val="913"/>
    <w:uiPriority w:val="29"/>
    <w:qFormat/>
    <w:pPr>
      <w:ind w:left="720" w:right="720"/>
    </w:pPr>
    <w:rPr>
      <w:i/>
    </w:rPr>
  </w:style>
  <w:style w:type="character" w:styleId="913" w:customStyle="1">
    <w:name w:val="Цитата 2 Знак"/>
    <w:link w:val="912"/>
    <w:uiPriority w:val="29"/>
    <w:rPr>
      <w:i/>
    </w:rPr>
  </w:style>
  <w:style w:type="paragraph" w:styleId="914">
    <w:name w:val="Intense Quote"/>
    <w:basedOn w:val="884"/>
    <w:next w:val="884"/>
    <w:link w:val="9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5" w:customStyle="1">
    <w:name w:val="Выделенная цитата Знак"/>
    <w:link w:val="914"/>
    <w:uiPriority w:val="30"/>
    <w:rPr>
      <w:i/>
    </w:rPr>
  </w:style>
  <w:style w:type="paragraph" w:styleId="916">
    <w:name w:val="Header"/>
    <w:basedOn w:val="884"/>
    <w:link w:val="9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917" w:customStyle="1">
    <w:name w:val="Верхний колонтитул Знак"/>
    <w:link w:val="916"/>
    <w:uiPriority w:val="99"/>
  </w:style>
  <w:style w:type="paragraph" w:styleId="918">
    <w:name w:val="Footer"/>
    <w:basedOn w:val="884"/>
    <w:link w:val="921"/>
    <w:pPr>
      <w:tabs>
        <w:tab w:val="center" w:pos="4677" w:leader="none"/>
        <w:tab w:val="right" w:pos="9355" w:leader="none"/>
      </w:tabs>
    </w:pPr>
  </w:style>
  <w:style w:type="character" w:styleId="919" w:customStyle="1">
    <w:name w:val="Footer Char"/>
    <w:uiPriority w:val="99"/>
  </w:style>
  <w:style w:type="paragraph" w:styleId="920">
    <w:name w:val="Caption"/>
    <w:basedOn w:val="884"/>
    <w:next w:val="884"/>
    <w:link w:val="88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921" w:customStyle="1">
    <w:name w:val="Нижний колонтитул Знак"/>
    <w:link w:val="918"/>
    <w:uiPriority w:val="99"/>
  </w:style>
  <w:style w:type="table" w:styleId="922">
    <w:name w:val="Table Grid"/>
    <w:basedOn w:val="895"/>
    <w:uiPriority w:val="39"/>
    <w:tblPr/>
  </w:style>
  <w:style w:type="table" w:styleId="92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6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8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100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100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100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101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101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101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101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2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3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1048">
    <w:name w:val="Hyperlink"/>
    <w:rPr>
      <w:color w:val="0000ff"/>
      <w:u w:val="single"/>
    </w:rPr>
  </w:style>
  <w:style w:type="paragraph" w:styleId="1049">
    <w:name w:val="footnote text"/>
    <w:basedOn w:val="884"/>
    <w:link w:val="1050"/>
    <w:uiPriority w:val="99"/>
    <w:semiHidden/>
    <w:unhideWhenUsed/>
    <w:pPr>
      <w:spacing w:after="40"/>
    </w:pPr>
    <w:rPr>
      <w:sz w:val="18"/>
    </w:rPr>
  </w:style>
  <w:style w:type="character" w:styleId="1050" w:customStyle="1">
    <w:name w:val="Текст сноски Знак"/>
    <w:link w:val="1049"/>
    <w:uiPriority w:val="99"/>
    <w:rPr>
      <w:sz w:val="18"/>
    </w:rPr>
  </w:style>
  <w:style w:type="character" w:styleId="1051">
    <w:name w:val="footnote reference"/>
    <w:uiPriority w:val="99"/>
    <w:unhideWhenUsed/>
    <w:rPr>
      <w:vertAlign w:val="superscript"/>
    </w:rPr>
  </w:style>
  <w:style w:type="paragraph" w:styleId="1052">
    <w:name w:val="endnote text"/>
    <w:basedOn w:val="884"/>
    <w:link w:val="1053"/>
    <w:uiPriority w:val="99"/>
    <w:semiHidden/>
    <w:unhideWhenUsed/>
  </w:style>
  <w:style w:type="character" w:styleId="1053" w:customStyle="1">
    <w:name w:val="Текст концевой сноски Знак"/>
    <w:link w:val="1052"/>
    <w:uiPriority w:val="99"/>
    <w:rPr>
      <w:sz w:val="20"/>
    </w:rPr>
  </w:style>
  <w:style w:type="character" w:styleId="1054">
    <w:name w:val="endnote reference"/>
    <w:uiPriority w:val="99"/>
    <w:semiHidden/>
    <w:unhideWhenUsed/>
    <w:rPr>
      <w:vertAlign w:val="superscript"/>
    </w:rPr>
  </w:style>
  <w:style w:type="paragraph" w:styleId="1055">
    <w:name w:val="toc 1"/>
    <w:basedOn w:val="884"/>
    <w:next w:val="884"/>
    <w:uiPriority w:val="39"/>
    <w:unhideWhenUsed/>
    <w:pPr>
      <w:spacing w:after="57"/>
    </w:pPr>
  </w:style>
  <w:style w:type="paragraph" w:styleId="1056">
    <w:name w:val="toc 2"/>
    <w:basedOn w:val="884"/>
    <w:next w:val="884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57">
    <w:name w:val="toc 3"/>
    <w:basedOn w:val="884"/>
    <w:next w:val="884"/>
    <w:uiPriority w:val="39"/>
    <w:unhideWhenUsed/>
    <w:pPr>
      <w:ind w:left="567"/>
      <w:spacing w:after="57"/>
    </w:pPr>
  </w:style>
  <w:style w:type="paragraph" w:styleId="1058">
    <w:name w:val="toc 4"/>
    <w:basedOn w:val="884"/>
    <w:next w:val="884"/>
    <w:uiPriority w:val="39"/>
    <w:unhideWhenUsed/>
    <w:pPr>
      <w:ind w:left="850"/>
      <w:spacing w:after="57"/>
    </w:pPr>
  </w:style>
  <w:style w:type="paragraph" w:styleId="1059">
    <w:name w:val="toc 5"/>
    <w:basedOn w:val="884"/>
    <w:next w:val="884"/>
    <w:uiPriority w:val="39"/>
    <w:unhideWhenUsed/>
    <w:pPr>
      <w:ind w:left="1134"/>
      <w:spacing w:after="57"/>
    </w:pPr>
  </w:style>
  <w:style w:type="paragraph" w:styleId="1060">
    <w:name w:val="toc 6"/>
    <w:basedOn w:val="884"/>
    <w:next w:val="884"/>
    <w:uiPriority w:val="39"/>
    <w:unhideWhenUsed/>
    <w:pPr>
      <w:ind w:left="1417"/>
      <w:spacing w:after="57"/>
    </w:pPr>
  </w:style>
  <w:style w:type="paragraph" w:styleId="1061">
    <w:name w:val="toc 7"/>
    <w:basedOn w:val="884"/>
    <w:next w:val="884"/>
    <w:uiPriority w:val="39"/>
    <w:unhideWhenUsed/>
    <w:pPr>
      <w:ind w:left="1701"/>
      <w:spacing w:after="57"/>
    </w:pPr>
  </w:style>
  <w:style w:type="paragraph" w:styleId="1062">
    <w:name w:val="toc 8"/>
    <w:basedOn w:val="884"/>
    <w:next w:val="884"/>
    <w:uiPriority w:val="39"/>
    <w:unhideWhenUsed/>
    <w:pPr>
      <w:ind w:left="1984"/>
      <w:spacing w:after="57"/>
    </w:pPr>
  </w:style>
  <w:style w:type="paragraph" w:styleId="1063">
    <w:name w:val="toc 9"/>
    <w:basedOn w:val="884"/>
    <w:next w:val="884"/>
    <w:uiPriority w:val="39"/>
    <w:unhideWhenUsed/>
    <w:pPr>
      <w:ind w:left="2268"/>
      <w:spacing w:after="57"/>
    </w:pPr>
  </w:style>
  <w:style w:type="paragraph" w:styleId="1064">
    <w:name w:val="TOC Heading"/>
    <w:uiPriority w:val="39"/>
    <w:unhideWhenUsed/>
    <w:rPr>
      <w:lang w:eastAsia="zh-CN"/>
    </w:rPr>
  </w:style>
  <w:style w:type="paragraph" w:styleId="1065">
    <w:name w:val="table of figures"/>
    <w:basedOn w:val="884"/>
    <w:next w:val="884"/>
    <w:uiPriority w:val="99"/>
    <w:unhideWhenUsed/>
  </w:style>
  <w:style w:type="paragraph" w:styleId="1066" w:customStyle="1">
    <w:name w:val="Заголовок 1;Знак;Знак Знак"/>
    <w:basedOn w:val="884"/>
    <w:next w:val="884"/>
    <w:link w:val="1068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67" w:customStyle="1">
    <w:name w:val="Основной шрифт абзаца;Знак Знак Знак2 Знак1 Знак Знак Знак Знак Знак Знак Знак Знак"/>
    <w:link w:val="1244"/>
    <w:semiHidden/>
  </w:style>
  <w:style w:type="character" w:styleId="1068" w:customStyle="1">
    <w:name w:val="Заголовок 1 Знак;Знак Знак2;Знак Знак Знак2"/>
    <w:link w:val="1066"/>
    <w:rPr>
      <w:rFonts w:ascii="Arial" w:hAnsi="Arial"/>
      <w:b/>
      <w:sz w:val="32"/>
      <w:lang w:val="ru-RU" w:eastAsia="ru-RU" w:bidi="ar-SA"/>
    </w:rPr>
  </w:style>
  <w:style w:type="paragraph" w:styleId="1069" w:customStyle="1">
    <w:name w:val="Знак Знак Знак2 Знак1 Знак Знак 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0" w:customStyle="1">
    <w:name w:val="Заголовок 7 Знак"/>
    <w:link w:val="891"/>
    <w:semiHidden/>
    <w:rPr>
      <w:sz w:val="24"/>
      <w:szCs w:val="24"/>
      <w:lang w:val="ru-RU" w:eastAsia="ru-RU" w:bidi="ar-SA"/>
    </w:rPr>
  </w:style>
  <w:style w:type="paragraph" w:styleId="1071" w:customStyle="1">
    <w:name w:val="Верхний колонтитул;Название 2"/>
    <w:basedOn w:val="884"/>
    <w:link w:val="1072"/>
    <w:pPr>
      <w:tabs>
        <w:tab w:val="center" w:pos="4677" w:leader="none"/>
        <w:tab w:val="right" w:pos="9355" w:leader="none"/>
      </w:tabs>
    </w:pPr>
  </w:style>
  <w:style w:type="character" w:styleId="1072" w:customStyle="1">
    <w:name w:val="Верхний колонтитул Знак;Название 2 Знак"/>
    <w:link w:val="1071"/>
    <w:semiHidden/>
    <w:rPr>
      <w:lang w:val="ru-RU" w:eastAsia="ru-RU" w:bidi="ar-SA"/>
    </w:rPr>
  </w:style>
  <w:style w:type="character" w:styleId="1073">
    <w:name w:val="page number"/>
    <w:basedOn w:val="1067"/>
  </w:style>
  <w:style w:type="paragraph" w:styleId="1074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1075">
    <w:name w:val="Block Text"/>
    <w:basedOn w:val="884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76" w:customStyle="1">
    <w:name w:val="втяжка"/>
    <w:basedOn w:val="1074"/>
    <w:next w:val="1074"/>
    <w:pPr>
      <w:ind w:left="567" w:hanging="567"/>
      <w:spacing w:before="57"/>
      <w:tabs>
        <w:tab w:val="left" w:pos="567" w:leader="none"/>
      </w:tabs>
    </w:pPr>
  </w:style>
  <w:style w:type="paragraph" w:styleId="1077" w:customStyle="1">
    <w:name w:val="втяжка1"/>
    <w:basedOn w:val="1076"/>
    <w:next w:val="1076"/>
    <w:pPr>
      <w:ind w:left="1134"/>
      <w:tabs>
        <w:tab w:val="clear" w:pos="567" w:leader="none"/>
        <w:tab w:val="left" w:pos="1134" w:leader="none"/>
      </w:tabs>
    </w:pPr>
  </w:style>
  <w:style w:type="paragraph" w:styleId="1078">
    <w:name w:val="Body Text Indent 2"/>
    <w:basedOn w:val="884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79" w:customStyle="1">
    <w:name w:val="Normal1"/>
    <w:link w:val="1080"/>
    <w:pPr>
      <w:spacing w:before="100" w:after="100"/>
      <w:widowControl w:val="off"/>
    </w:pPr>
    <w:rPr>
      <w:sz w:val="24"/>
    </w:rPr>
  </w:style>
  <w:style w:type="character" w:styleId="1080" w:customStyle="1">
    <w:name w:val="Normal Знак"/>
    <w:link w:val="1079"/>
    <w:rPr>
      <w:sz w:val="24"/>
      <w:lang w:val="ru-RU" w:eastAsia="ru-RU" w:bidi="ar-SA"/>
    </w:rPr>
  </w:style>
  <w:style w:type="paragraph" w:styleId="1081">
    <w:name w:val="Body Text 2"/>
    <w:basedOn w:val="884"/>
    <w:pPr>
      <w:spacing w:after="120" w:line="480" w:lineRule="auto"/>
    </w:pPr>
  </w:style>
  <w:style w:type="paragraph" w:styleId="1082" w:customStyle="1">
    <w:name w:val="текст-табл"/>
    <w:basedOn w:val="884"/>
    <w:next w:val="884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83">
    <w:name w:val="Body Text"/>
    <w:basedOn w:val="884"/>
    <w:link w:val="1084"/>
    <w:pPr>
      <w:spacing w:after="120"/>
    </w:pPr>
  </w:style>
  <w:style w:type="character" w:styleId="1084" w:customStyle="1">
    <w:name w:val="Основной текст Знак"/>
    <w:link w:val="1083"/>
    <w:rPr>
      <w:lang w:val="ru-RU" w:eastAsia="ru-RU" w:bidi="ar-SA"/>
    </w:rPr>
  </w:style>
  <w:style w:type="paragraph" w:styleId="1085">
    <w:name w:val="Body Text Indent 3"/>
    <w:basedOn w:val="884"/>
    <w:pPr>
      <w:ind w:left="283"/>
      <w:spacing w:after="120"/>
    </w:pPr>
    <w:rPr>
      <w:sz w:val="16"/>
      <w:szCs w:val="16"/>
    </w:rPr>
  </w:style>
  <w:style w:type="paragraph" w:styleId="1086">
    <w:name w:val="Body Text 3"/>
    <w:basedOn w:val="884"/>
    <w:pPr>
      <w:jc w:val="center"/>
      <w:spacing w:before="120"/>
    </w:pPr>
    <w:rPr>
      <w:sz w:val="24"/>
    </w:rPr>
  </w:style>
  <w:style w:type="paragraph" w:styleId="1087">
    <w:name w:val="Body Text Indent"/>
    <w:basedOn w:val="884"/>
    <w:pPr>
      <w:ind w:left="283"/>
      <w:spacing w:after="120"/>
    </w:pPr>
  </w:style>
  <w:style w:type="paragraph" w:styleId="1088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1089" w:customStyle="1">
    <w:name w:val="заг_центр"/>
    <w:basedOn w:val="1082"/>
    <w:pPr>
      <w:jc w:val="center"/>
    </w:pPr>
    <w:rPr>
      <w:rFonts w:ascii="AvantGardeGothicC" w:hAnsi="AvantGardeGothicC"/>
    </w:rPr>
  </w:style>
  <w:style w:type="paragraph" w:styleId="1090" w:customStyle="1">
    <w:name w:val="fr1"/>
    <w:basedOn w:val="884"/>
    <w:pPr>
      <w:ind w:left="150" w:right="150"/>
      <w:spacing w:before="150" w:after="150"/>
    </w:pPr>
    <w:rPr>
      <w:sz w:val="24"/>
      <w:szCs w:val="24"/>
    </w:rPr>
  </w:style>
  <w:style w:type="paragraph" w:styleId="1091" w:customStyle="1">
    <w:name w:val="ConsNormal"/>
    <w:pPr>
      <w:ind w:right="19772" w:firstLine="720"/>
    </w:pPr>
    <w:rPr>
      <w:rFonts w:ascii="Arial" w:hAnsi="Arial" w:cs="Arial"/>
    </w:rPr>
  </w:style>
  <w:style w:type="paragraph" w:styleId="1092" w:customStyle="1">
    <w:name w:val="Стиль1"/>
    <w:basedOn w:val="884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93" w:customStyle="1">
    <w:name w:val="Стиль2"/>
    <w:basedOn w:val="1094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94">
    <w:name w:val="List Number 2"/>
    <w:basedOn w:val="884"/>
    <w:pPr>
      <w:ind w:left="432" w:hanging="432"/>
      <w:tabs>
        <w:tab w:val="num" w:pos="432" w:leader="none"/>
      </w:tabs>
    </w:pPr>
  </w:style>
  <w:style w:type="paragraph" w:styleId="1095" w:customStyle="1">
    <w:name w:val="Стиль3"/>
    <w:basedOn w:val="1078"/>
    <w:link w:val="1096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96" w:customStyle="1">
    <w:name w:val="Стиль3 Знак"/>
    <w:link w:val="1095"/>
    <w:rPr>
      <w:sz w:val="24"/>
      <w:lang w:val="ru-RU" w:eastAsia="ru-RU" w:bidi="ar-SA"/>
    </w:rPr>
  </w:style>
  <w:style w:type="character" w:styleId="1097">
    <w:name w:val="Strong"/>
    <w:qFormat/>
    <w:rPr>
      <w:b/>
      <w:bCs/>
    </w:rPr>
  </w:style>
  <w:style w:type="paragraph" w:styleId="1098" w:customStyle="1">
    <w:name w:val="9"/>
    <w:basedOn w:val="884"/>
    <w:pPr>
      <w:jc w:val="center"/>
    </w:pPr>
    <w:rPr>
      <w:rFonts w:eastAsia="Arial Unicode MS"/>
      <w:b/>
      <w:bCs/>
      <w:sz w:val="16"/>
      <w:szCs w:val="16"/>
    </w:rPr>
  </w:style>
  <w:style w:type="paragraph" w:styleId="1099" w:customStyle="1">
    <w:name w:val="Контракт-пункт"/>
    <w:basedOn w:val="884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100" w:customStyle="1">
    <w:name w:val="Текст_начало_2"/>
    <w:basedOn w:val="884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101" w:customStyle="1">
    <w:name w:val="02statia1"/>
    <w:basedOn w:val="884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102" w:customStyle="1">
    <w:name w:val="02statia2"/>
    <w:basedOn w:val="884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103" w:customStyle="1">
    <w:name w:val="02statia3"/>
    <w:basedOn w:val="884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104" w:customStyle="1">
    <w:name w:val="03zagolovok2"/>
    <w:basedOn w:val="88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105" w:customStyle="1">
    <w:name w:val="директор"/>
    <w:basedOn w:val="884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106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</w:rPr>
  </w:style>
  <w:style w:type="character" w:styleId="1107" w:customStyle="1">
    <w:name w:val="Основной шрифт"/>
    <w:semiHidden/>
  </w:style>
  <w:style w:type="paragraph" w:styleId="1108">
    <w:name w:val="Balloon Text"/>
    <w:basedOn w:val="884"/>
    <w:semiHidden/>
    <w:rPr>
      <w:rFonts w:ascii="Tahoma" w:hAnsi="Tahoma" w:cs="Tahoma"/>
      <w:sz w:val="16"/>
      <w:szCs w:val="16"/>
    </w:rPr>
  </w:style>
  <w:style w:type="paragraph" w:styleId="1109" w:customStyle="1">
    <w:name w:val="Комментарий"/>
    <w:basedOn w:val="884"/>
    <w:next w:val="884"/>
    <w:pPr>
      <w:ind w:left="170"/>
      <w:jc w:val="both"/>
    </w:pPr>
    <w:rPr>
      <w:rFonts w:ascii="Arial" w:hAnsi="Arial"/>
      <w:i/>
      <w:iCs/>
      <w:color w:val="800080"/>
    </w:rPr>
  </w:style>
  <w:style w:type="character" w:styleId="1110" w:customStyle="1">
    <w:name w:val="Стиль3 Знак Знак"/>
    <w:rPr>
      <w:sz w:val="24"/>
      <w:lang w:val="ru-RU" w:eastAsia="ru-RU" w:bidi="ar-SA"/>
    </w:rPr>
  </w:style>
  <w:style w:type="paragraph" w:styleId="1111" w:customStyle="1">
    <w:name w:val="Обычный + 14 pt;по ширине;Первая строка:  1;27 см"/>
    <w:basedOn w:val="884"/>
    <w:pPr>
      <w:ind w:firstLine="720"/>
      <w:jc w:val="both"/>
    </w:pPr>
    <w:rPr>
      <w:sz w:val="28"/>
    </w:rPr>
  </w:style>
  <w:style w:type="character" w:styleId="1112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113">
    <w:name w:val="HTML Preformatted"/>
    <w:basedOn w:val="88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114" w:customStyle="1">
    <w:name w:val="Знак1 Знак Знак 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15" w:customStyle="1">
    <w:name w:val="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16" w:customStyle="1">
    <w:name w:val="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17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118" w:customStyle="1">
    <w:name w:val="Обычный (веб);Обычный (Web)"/>
    <w:basedOn w:val="884"/>
    <w:link w:val="1119"/>
    <w:pPr>
      <w:spacing w:before="100" w:after="100"/>
    </w:pPr>
    <w:rPr>
      <w:sz w:val="24"/>
    </w:rPr>
  </w:style>
  <w:style w:type="character" w:styleId="1119" w:customStyle="1">
    <w:name w:val="Обычный (веб) Знак;Обычный (Web) Знак"/>
    <w:link w:val="1118"/>
    <w:rPr>
      <w:sz w:val="24"/>
      <w:lang w:val="ru-RU" w:eastAsia="ru-RU" w:bidi="ar-SA"/>
    </w:rPr>
  </w:style>
  <w:style w:type="paragraph" w:styleId="1120" w:customStyle="1">
    <w:name w:val="Знак1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21">
    <w:name w:val="List Bullet"/>
    <w:basedOn w:val="884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122" w:customStyle="1">
    <w:name w:val="Char Char1 Знак Знак Знак"/>
    <w:basedOn w:val="884"/>
    <w:rPr>
      <w:rFonts w:ascii="Verdana" w:hAnsi="Verdana" w:cs="Verdana"/>
      <w:lang w:val="en-US" w:eastAsia="en-US"/>
    </w:rPr>
  </w:style>
  <w:style w:type="paragraph" w:styleId="1123" w:customStyle="1">
    <w:name w:val="Знак1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24" w:customStyle="1">
    <w:name w:val="Содержимое таблицы"/>
    <w:basedOn w:val="884"/>
    <w:pPr>
      <w:suppressLineNumbers/>
    </w:pPr>
    <w:rPr>
      <w:sz w:val="24"/>
      <w:szCs w:val="24"/>
      <w:lang w:eastAsia="ar-SA"/>
    </w:rPr>
  </w:style>
  <w:style w:type="paragraph" w:styleId="1125" w:customStyle="1">
    <w:name w:val="1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26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127" w:customStyle="1">
    <w:name w:val="Условия контракта"/>
    <w:basedOn w:val="884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128" w:customStyle="1">
    <w:name w:val="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29" w:customStyle="1">
    <w:name w:val="Знак Знак Знак Знак Знак Знак Знак Знак Знак Знак"/>
    <w:basedOn w:val="884"/>
    <w:rPr>
      <w:rFonts w:ascii="Verdana" w:hAnsi="Verdana" w:cs="Verdana"/>
      <w:lang w:val="en-US" w:eastAsia="en-US"/>
    </w:rPr>
  </w:style>
  <w:style w:type="paragraph" w:styleId="1130" w:customStyle="1">
    <w:name w:val="Знак1 Знак Знак Знак Знак Знак 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31" w:customStyle="1">
    <w:name w:val="WW-Absatz-Standardschriftart"/>
  </w:style>
  <w:style w:type="paragraph" w:styleId="1132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basedOn w:val="884"/>
    <w:link w:val="1253"/>
    <w:uiPriority w:val="34"/>
    <w:qFormat/>
    <w:pPr>
      <w:contextualSpacing/>
      <w:ind w:left="720"/>
    </w:pPr>
    <w:rPr>
      <w:sz w:val="24"/>
      <w:szCs w:val="24"/>
    </w:rPr>
  </w:style>
  <w:style w:type="paragraph" w:styleId="1133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134" w:customStyle="1">
    <w:name w:val="Гипертекстовая ссылка"/>
    <w:rPr>
      <w:color w:val="008000"/>
    </w:rPr>
  </w:style>
  <w:style w:type="paragraph" w:styleId="1135" w:customStyle="1">
    <w:name w:val="Знак Знак Знак2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36" w:customStyle="1">
    <w:name w:val="Знак Знак Знак2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37" w:customStyle="1">
    <w:name w:val="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38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139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40">
    <w:name w:val="Plain Text"/>
    <w:basedOn w:val="884"/>
    <w:rPr>
      <w:rFonts w:ascii="Courier New" w:hAnsi="Courier New"/>
      <w:szCs w:val="24"/>
    </w:rPr>
  </w:style>
  <w:style w:type="paragraph" w:styleId="1141" w:customStyle="1">
    <w:name w:val="ConsCell"/>
    <w:pPr>
      <w:widowControl w:val="off"/>
    </w:pPr>
    <w:rPr>
      <w:rFonts w:ascii="Arial" w:hAnsi="Arial" w:cs="Arial"/>
    </w:rPr>
  </w:style>
  <w:style w:type="character" w:styleId="1142" w:customStyle="1">
    <w:name w:val="Знак Знак3"/>
    <w:rPr>
      <w:lang w:val="ru-RU" w:eastAsia="ru-RU" w:bidi="ar-SA"/>
    </w:rPr>
  </w:style>
  <w:style w:type="character" w:styleId="1143" w:customStyle="1">
    <w:name w:val="Обычный (Web) Знак Знак"/>
    <w:rPr>
      <w:sz w:val="24"/>
      <w:lang w:val="ru-RU" w:eastAsia="ru-RU" w:bidi="ar-SA"/>
    </w:rPr>
  </w:style>
  <w:style w:type="character" w:styleId="1144" w:customStyle="1">
    <w:name w:val="Название 2 Знак Знак"/>
    <w:semiHidden/>
    <w:rPr>
      <w:lang w:val="ru-RU" w:eastAsia="ru-RU" w:bidi="ar-SA"/>
    </w:rPr>
  </w:style>
  <w:style w:type="paragraph" w:styleId="1145" w:customStyle="1">
    <w:name w:val="Знак2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46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147" w:customStyle="1">
    <w:name w:val="Знак Знак7"/>
    <w:rPr>
      <w:lang w:val="ru-RU" w:eastAsia="ru-RU" w:bidi="ar-SA"/>
    </w:rPr>
  </w:style>
  <w:style w:type="paragraph" w:styleId="1148" w:customStyle="1">
    <w:name w:val="Знак1 Знак Знак Знак Знак Знак"/>
    <w:basedOn w:val="88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149" w:customStyle="1">
    <w:name w:val="Знак Знак Знак Знак Знак Знак Знак Знак Знак Знак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50" w:customStyle="1">
    <w:name w:val="Знак Знак Char Char"/>
    <w:basedOn w:val="884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151" w:customStyle="1">
    <w:name w:val="Absatz-Standardschriftart"/>
  </w:style>
  <w:style w:type="character" w:styleId="1152" w:customStyle="1">
    <w:name w:val="Основной шрифт абзаца4"/>
  </w:style>
  <w:style w:type="character" w:styleId="1153" w:customStyle="1">
    <w:name w:val="WW-Absatz-Standardschriftart1"/>
  </w:style>
  <w:style w:type="character" w:styleId="1154" w:customStyle="1">
    <w:name w:val="Основной шрифт абзаца3"/>
  </w:style>
  <w:style w:type="character" w:styleId="1155" w:customStyle="1">
    <w:name w:val="WW-Absatz-Standardschriftart11"/>
  </w:style>
  <w:style w:type="character" w:styleId="1156" w:customStyle="1">
    <w:name w:val="WW-Absatz-Standardschriftart111"/>
  </w:style>
  <w:style w:type="character" w:styleId="1157" w:customStyle="1">
    <w:name w:val="Основной шрифт абзаца2"/>
  </w:style>
  <w:style w:type="character" w:styleId="1158" w:customStyle="1">
    <w:name w:val="WW-Absatz-Standardschriftart1111"/>
  </w:style>
  <w:style w:type="character" w:styleId="1159" w:customStyle="1">
    <w:name w:val="WW8Num1z0"/>
    <w:rPr>
      <w:rFonts w:ascii="Symbol" w:hAnsi="Symbol"/>
    </w:rPr>
  </w:style>
  <w:style w:type="character" w:styleId="1160" w:customStyle="1">
    <w:name w:val="WW8Num3z0"/>
    <w:rPr>
      <w:sz w:val="24"/>
    </w:rPr>
  </w:style>
  <w:style w:type="character" w:styleId="1161" w:customStyle="1">
    <w:name w:val="WW8Num6z0"/>
    <w:rPr>
      <w:rFonts w:ascii="Times New Roman" w:hAnsi="Times New Roman" w:eastAsia="Times New Roman"/>
    </w:rPr>
  </w:style>
  <w:style w:type="character" w:styleId="1162" w:customStyle="1">
    <w:name w:val="WW8Num6z1"/>
    <w:rPr>
      <w:rFonts w:ascii="Courier New" w:hAnsi="Courier New" w:cs="Courier New"/>
    </w:rPr>
  </w:style>
  <w:style w:type="character" w:styleId="1163" w:customStyle="1">
    <w:name w:val="WW8Num6z2"/>
    <w:rPr>
      <w:rFonts w:ascii="Wingdings" w:hAnsi="Wingdings" w:cs="Times New Roman"/>
    </w:rPr>
  </w:style>
  <w:style w:type="character" w:styleId="1164" w:customStyle="1">
    <w:name w:val="WW8Num6z3"/>
    <w:rPr>
      <w:rFonts w:ascii="Symbol" w:hAnsi="Symbol" w:cs="Times New Roman"/>
    </w:rPr>
  </w:style>
  <w:style w:type="character" w:styleId="1165" w:customStyle="1">
    <w:name w:val="WW8Num8z0"/>
    <w:rPr>
      <w:rFonts w:ascii="Symbol" w:hAnsi="Symbol"/>
    </w:rPr>
  </w:style>
  <w:style w:type="character" w:styleId="1166" w:customStyle="1">
    <w:name w:val="WW8Num8z1"/>
    <w:rPr>
      <w:rFonts w:ascii="Courier New" w:hAnsi="Courier New"/>
    </w:rPr>
  </w:style>
  <w:style w:type="character" w:styleId="1167" w:customStyle="1">
    <w:name w:val="WW8Num8z2"/>
    <w:rPr>
      <w:rFonts w:ascii="Wingdings" w:hAnsi="Wingdings"/>
    </w:rPr>
  </w:style>
  <w:style w:type="character" w:styleId="1168" w:customStyle="1">
    <w:name w:val="Основной шрифт абзаца1"/>
  </w:style>
  <w:style w:type="paragraph" w:styleId="1169">
    <w:name w:val="List"/>
    <w:basedOn w:val="1083"/>
    <w:rPr>
      <w:rFonts w:ascii="Arial" w:hAnsi="Arial" w:cs="Tahoma"/>
      <w:lang w:eastAsia="ar-SA"/>
    </w:rPr>
  </w:style>
  <w:style w:type="paragraph" w:styleId="1170" w:customStyle="1">
    <w:name w:val="Название4"/>
    <w:basedOn w:val="88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71" w:customStyle="1">
    <w:name w:val="Указатель4"/>
    <w:basedOn w:val="884"/>
    <w:pPr>
      <w:suppressLineNumbers/>
    </w:pPr>
    <w:rPr>
      <w:rFonts w:ascii="Arial" w:hAnsi="Arial" w:cs="Tahoma"/>
      <w:lang w:eastAsia="ar-SA"/>
    </w:rPr>
  </w:style>
  <w:style w:type="paragraph" w:styleId="1172" w:customStyle="1">
    <w:name w:val="Название3"/>
    <w:basedOn w:val="88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73" w:customStyle="1">
    <w:name w:val="Указатель3"/>
    <w:basedOn w:val="884"/>
    <w:pPr>
      <w:suppressLineNumbers/>
    </w:pPr>
    <w:rPr>
      <w:rFonts w:ascii="Arial" w:hAnsi="Arial" w:cs="Tahoma"/>
      <w:lang w:eastAsia="ar-SA"/>
    </w:rPr>
  </w:style>
  <w:style w:type="paragraph" w:styleId="1174" w:customStyle="1">
    <w:name w:val="Название2"/>
    <w:basedOn w:val="88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75" w:customStyle="1">
    <w:name w:val="Указатель2"/>
    <w:basedOn w:val="884"/>
    <w:pPr>
      <w:suppressLineNumbers/>
    </w:pPr>
    <w:rPr>
      <w:rFonts w:ascii="Arial" w:hAnsi="Arial" w:cs="Tahoma"/>
      <w:lang w:eastAsia="ar-SA"/>
    </w:rPr>
  </w:style>
  <w:style w:type="paragraph" w:styleId="1176" w:customStyle="1">
    <w:name w:val="Название1"/>
    <w:basedOn w:val="88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77" w:customStyle="1">
    <w:name w:val="Указатель1"/>
    <w:basedOn w:val="884"/>
    <w:pPr>
      <w:suppressLineNumbers/>
    </w:pPr>
    <w:rPr>
      <w:rFonts w:ascii="Arial" w:hAnsi="Arial" w:cs="Tahoma"/>
      <w:lang w:eastAsia="ar-SA"/>
    </w:rPr>
  </w:style>
  <w:style w:type="paragraph" w:styleId="1178" w:customStyle="1">
    <w:name w:val="заголовок 1"/>
    <w:basedOn w:val="884"/>
    <w:next w:val="884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79" w:customStyle="1">
    <w:name w:val="заголовок 2"/>
    <w:basedOn w:val="884"/>
    <w:next w:val="884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80" w:customStyle="1">
    <w:name w:val="Основной текст с отступом 21"/>
    <w:basedOn w:val="884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81" w:customStyle="1">
    <w:name w:val="Маркированный список 31"/>
    <w:basedOn w:val="884"/>
    <w:pPr>
      <w:ind w:left="849" w:hanging="283"/>
    </w:pPr>
    <w:rPr>
      <w:lang w:eastAsia="ar-SA"/>
    </w:rPr>
  </w:style>
  <w:style w:type="paragraph" w:styleId="1182" w:customStyle="1">
    <w:name w:val="font5"/>
    <w:basedOn w:val="88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83" w:customStyle="1">
    <w:name w:val="font6"/>
    <w:basedOn w:val="884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84" w:customStyle="1">
    <w:name w:val="font7"/>
    <w:basedOn w:val="88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85" w:customStyle="1">
    <w:name w:val="xl24"/>
    <w:basedOn w:val="884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86" w:customStyle="1">
    <w:name w:val="xl25"/>
    <w:basedOn w:val="884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87" w:customStyle="1">
    <w:name w:val="xl26"/>
    <w:basedOn w:val="884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88" w:customStyle="1">
    <w:name w:val="xl27"/>
    <w:basedOn w:val="884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89" w:customStyle="1">
    <w:name w:val="xl28"/>
    <w:basedOn w:val="884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90" w:customStyle="1">
    <w:name w:val="xl29"/>
    <w:basedOn w:val="884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91" w:customStyle="1">
    <w:name w:val="xl30"/>
    <w:basedOn w:val="884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92" w:customStyle="1">
    <w:name w:val="xl31"/>
    <w:basedOn w:val="884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93" w:customStyle="1">
    <w:name w:val="xl32"/>
    <w:basedOn w:val="88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94" w:customStyle="1">
    <w:name w:val="xl33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95" w:customStyle="1">
    <w:name w:val="xl34"/>
    <w:basedOn w:val="88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96" w:customStyle="1">
    <w:name w:val="xl35"/>
    <w:basedOn w:val="884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97" w:customStyle="1">
    <w:name w:val="xl36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98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99" w:customStyle="1">
    <w:name w:val="xl37"/>
    <w:basedOn w:val="884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00" w:customStyle="1">
    <w:name w:val="xl38"/>
    <w:basedOn w:val="88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1" w:customStyle="1">
    <w:name w:val="xl39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2" w:customStyle="1">
    <w:name w:val="xl40"/>
    <w:basedOn w:val="88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3" w:customStyle="1">
    <w:name w:val="xl41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4" w:customStyle="1">
    <w:name w:val="xl42"/>
    <w:basedOn w:val="884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205" w:customStyle="1">
    <w:name w:val="xl43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6" w:customStyle="1">
    <w:name w:val="xl44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7" w:customStyle="1">
    <w:name w:val="xl45"/>
    <w:basedOn w:val="88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08" w:customStyle="1">
    <w:name w:val="xl46"/>
    <w:basedOn w:val="88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209" w:customStyle="1">
    <w:name w:val="xl47"/>
    <w:basedOn w:val="88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10" w:customStyle="1">
    <w:name w:val="xl48"/>
    <w:basedOn w:val="884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11" w:customStyle="1">
    <w:name w:val="xl49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12" w:customStyle="1">
    <w:name w:val="xl50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13" w:customStyle="1">
    <w:name w:val="xl51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14" w:customStyle="1">
    <w:name w:val="xl52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15" w:customStyle="1">
    <w:name w:val="xl53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216" w:customStyle="1">
    <w:name w:val="xl54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17" w:customStyle="1">
    <w:name w:val="xl55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18" w:customStyle="1">
    <w:name w:val="xl56"/>
    <w:basedOn w:val="884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19" w:customStyle="1">
    <w:name w:val="xl57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0" w:customStyle="1">
    <w:name w:val="xl58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1" w:customStyle="1">
    <w:name w:val="xl59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2" w:customStyle="1">
    <w:name w:val="xl60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3" w:customStyle="1">
    <w:name w:val="xl61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4" w:customStyle="1">
    <w:name w:val="xl62"/>
    <w:basedOn w:val="88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5" w:customStyle="1">
    <w:name w:val="xl63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6" w:customStyle="1">
    <w:name w:val="xl64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7" w:customStyle="1">
    <w:name w:val="xl65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8" w:customStyle="1">
    <w:name w:val="xl66"/>
    <w:basedOn w:val="88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29" w:customStyle="1">
    <w:name w:val="xl67"/>
    <w:basedOn w:val="88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30" w:customStyle="1">
    <w:name w:val="xl68"/>
    <w:basedOn w:val="88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31" w:customStyle="1">
    <w:name w:val="xl69"/>
    <w:basedOn w:val="88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232" w:customStyle="1">
    <w:name w:val="Заголовок таблицы"/>
    <w:basedOn w:val="1124"/>
    <w:pPr>
      <w:jc w:val="center"/>
    </w:pPr>
    <w:rPr>
      <w:b/>
      <w:bCs/>
      <w:sz w:val="20"/>
      <w:szCs w:val="20"/>
    </w:rPr>
  </w:style>
  <w:style w:type="paragraph" w:styleId="1233">
    <w:name w:val="Document Map"/>
    <w:basedOn w:val="884"/>
    <w:rPr>
      <w:rFonts w:ascii="Tahoma" w:hAnsi="Tahoma" w:cs="Tahoma"/>
      <w:sz w:val="16"/>
      <w:szCs w:val="16"/>
      <w:lang w:eastAsia="ar-SA"/>
    </w:rPr>
  </w:style>
  <w:style w:type="paragraph" w:styleId="1234" w:customStyle="1">
    <w:name w:val="Знак Знак Char Char"/>
    <w:basedOn w:val="884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235" w:customStyle="1">
    <w:name w:val="Знак Знак Знак2 Знак1"/>
    <w:basedOn w:val="88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236">
    <w:name w:val="List Bullet 2"/>
    <w:basedOn w:val="884"/>
    <w:pPr>
      <w:numPr>
        <w:ilvl w:val="0"/>
        <w:numId w:val="6"/>
      </w:numPr>
    </w:pPr>
  </w:style>
  <w:style w:type="paragraph" w:styleId="1237" w:customStyle="1">
    <w:name w:val="Пункт_2"/>
    <w:basedOn w:val="884"/>
    <w:pPr>
      <w:numPr>
        <w:ilvl w:val="1"/>
        <w:numId w:val="8"/>
      </w:numPr>
      <w:jc w:val="both"/>
      <w:spacing w:line="360" w:lineRule="auto"/>
      <w:widowControl w:val="off"/>
    </w:pPr>
    <w:rPr>
      <w:sz w:val="28"/>
      <w:szCs w:val="28"/>
    </w:rPr>
  </w:style>
  <w:style w:type="paragraph" w:styleId="1238">
    <w:name w:val="List 2"/>
    <w:basedOn w:val="884"/>
    <w:pPr>
      <w:ind w:left="566" w:hanging="283"/>
    </w:pPr>
  </w:style>
  <w:style w:type="paragraph" w:styleId="1239">
    <w:name w:val="List Bullet 4"/>
    <w:basedOn w:val="884"/>
    <w:pPr>
      <w:numPr>
        <w:ilvl w:val="0"/>
        <w:numId w:val="10"/>
      </w:numPr>
    </w:pPr>
  </w:style>
  <w:style w:type="paragraph" w:styleId="1240">
    <w:name w:val="List 4"/>
    <w:basedOn w:val="884"/>
    <w:pPr>
      <w:ind w:left="1132" w:hanging="283"/>
    </w:pPr>
  </w:style>
  <w:style w:type="paragraph" w:styleId="1241">
    <w:name w:val="List 3"/>
    <w:basedOn w:val="884"/>
    <w:pPr>
      <w:ind w:left="849" w:hanging="283"/>
    </w:pPr>
  </w:style>
  <w:style w:type="paragraph" w:styleId="1242">
    <w:name w:val="List Continue 3"/>
    <w:basedOn w:val="884"/>
    <w:pPr>
      <w:ind w:left="849"/>
      <w:spacing w:after="120"/>
    </w:pPr>
  </w:style>
  <w:style w:type="paragraph" w:styleId="1243">
    <w:name w:val="Body Text First Indent 2"/>
    <w:basedOn w:val="1087"/>
    <w:pPr>
      <w:ind w:firstLine="210"/>
    </w:pPr>
  </w:style>
  <w:style w:type="paragraph" w:styleId="1244" w:customStyle="1">
    <w:name w:val="Знак Знак Знак2 Знак1 Знак Знак Знак Знак"/>
    <w:basedOn w:val="884"/>
    <w:link w:val="106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245" w:customStyle="1">
    <w:name w:val="Основной текст_"/>
    <w:link w:val="1246"/>
    <w:rPr>
      <w:shd w:val="clear" w:color="auto" w:fill="ffffff"/>
    </w:rPr>
  </w:style>
  <w:style w:type="paragraph" w:styleId="1246" w:customStyle="1">
    <w:name w:val="Основной текст1"/>
    <w:basedOn w:val="884"/>
    <w:link w:val="1245"/>
    <w:pPr>
      <w:jc w:val="right"/>
      <w:spacing w:line="295" w:lineRule="exact"/>
      <w:shd w:val="clear" w:color="auto" w:fill="ffffff"/>
      <w:widowControl w:val="off"/>
    </w:pPr>
    <w:rPr>
      <w:shd w:val="clear" w:color="auto" w:fill="ffffff"/>
    </w:rPr>
  </w:style>
  <w:style w:type="character" w:styleId="1247">
    <w:name w:val="annotation reference"/>
    <w:rPr>
      <w:sz w:val="16"/>
      <w:szCs w:val="16"/>
    </w:rPr>
  </w:style>
  <w:style w:type="paragraph" w:styleId="1248">
    <w:name w:val="annotation text"/>
    <w:basedOn w:val="884"/>
    <w:link w:val="1249"/>
  </w:style>
  <w:style w:type="character" w:styleId="1249" w:customStyle="1">
    <w:name w:val="Текст примечания Знак"/>
    <w:basedOn w:val="1067"/>
    <w:link w:val="1248"/>
  </w:style>
  <w:style w:type="paragraph" w:styleId="1250">
    <w:name w:val="annotation subject"/>
    <w:basedOn w:val="1248"/>
    <w:next w:val="1248"/>
    <w:link w:val="1251"/>
    <w:rPr>
      <w:b/>
      <w:bCs/>
    </w:rPr>
  </w:style>
  <w:style w:type="character" w:styleId="1251" w:customStyle="1">
    <w:name w:val="Тема примечания Знак"/>
    <w:link w:val="1250"/>
    <w:rPr>
      <w:b/>
      <w:bCs/>
    </w:rPr>
  </w:style>
  <w:style w:type="paragraph" w:styleId="1252">
    <w:name w:val="Revision"/>
    <w:hidden/>
    <w:uiPriority w:val="99"/>
    <w:semiHidden/>
  </w:style>
  <w:style w:type="character" w:styleId="1253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Bullet List Знак;FooterText Знак;numbered Знак;Абзац основного текста Знак"/>
    <w:link w:val="1132"/>
    <w:uiPriority w:val="34"/>
    <w:qFormat/>
    <w:rPr>
      <w:sz w:val="24"/>
      <w:szCs w:val="24"/>
    </w:rPr>
  </w:style>
  <w:style w:type="character" w:styleId="1254" w:customStyle="1">
    <w:name w:val="Font Style17"/>
    <w:rPr>
      <w:rFonts w:ascii="Times New Roman" w:hAnsi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afonina_yv</cp:lastModifiedBy>
  <cp:revision>45</cp:revision>
  <dcterms:created xsi:type="dcterms:W3CDTF">2023-07-28T00:07:00Z</dcterms:created>
  <dcterms:modified xsi:type="dcterms:W3CDTF">2025-12-23T00:29:58Z</dcterms:modified>
  <cp:version>1048576</cp:version>
</cp:coreProperties>
</file>